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3.104/96 promovido por don José Luis Bariñaga González, representado por el Procurador de los Tribunales don Ángel Martín Gutiérrez y asistido del Letrado don Juan Durán Fuentes, contra la Sentencia de la Sala de lo Social del Tribunal Superior de Justicia de Madrid de 6 de julio de 1995, dictada en procedimiento de tutela de derechos fundamentales. Han comparecido el Ministerio Fiscal y la Red Nacional de los Ferrocarriles Españoles (RENFE), representada por la Procuradora doña María Teresa de las Alas-Pumariño Larrañaga y asistida del Letrado don Luis Díaz-Guerra Álvarez.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julio de 1996 el Procurador de los Tribunales don Ángel Martín Gutiérrez, en nombre y representación de don José Luis Bariñaga González, interpuso recurso de amparo contra la Sentencia de la Sala de lo Social del Tribunal Superior de Justicia de Madrid, de 6 de julio de 1995, desestimatoria del recurso de suplicación interpuesto contra la dictada por el Juzgado de lo Social núm. 35 de Madrid en 3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CC.OO., presta servicios para la empresa RENFE.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el recurrente no participó en la huelga, porque su horario de trabajo comprende desde las 22 horas hasta las 6 horas del día siguiente, se le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 tos e incluso a trabajadores sin opción sindical declarada. La empresa conoce el dato de la afiliación porque descuenta de los salarios la cuota sindical mediante diversas claves informáti- 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35 de Madrid en Sentencia de 3 de noviembre de 1994 la desestimó y absolvió a la demandada de las pretensiones deducidas en su contra.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6 de julio de 1995 desestimó el recurso y confirmó la de instancia.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de la C.E. precisaba que "la intimidad y la privacidad de los datos personales ideológicos, en tanto voluntariamente ofrecidos a la contraparte, transcienden de ese mundo reservado para incardinarse en la relación laboral ..." (cfr. fundamentos de Derecho séptimo y octavo).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18 de junio de 1996, al no ser firmes las Sentencias invocadas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cien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formalmente contra la expresada Sentencia del Tribunal Superior de Justicia porque vulnera los arts. 18.4, 24.1 y 28.1 C.E. A propósito del art. 24.1 denuncia, en primer lugar, que la Sentencia incurre en incongruencia por omisión. Argumenta que sin acoger los motivos de la empresa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al extraordinario recurso de suplicación en una segunda instancia [sic]. Por el contrario, el recurrente probó el propósito antisindical de la empresa y así lo entendieron diversos Juzgados de lo Social de Madrid en numerosos pleitos habidos sobre idéntica cuestión. En otro caso similar la Sentencia del Tribunal Superior de Justicia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El trabajador no pudo materialmente seguir la huelga porque su horario no coincidía con el de los paros y, en cambio, la Sentencia plantea la libre y voluntaria decisión del actor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de la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en providencia de 17 de octubre de 1996 acordó, conforme determina el art. 50.5 LOTC, conceder al recurrente un plazo de diez días para que aportara copia de la Sentencia dictada por el Juzgado de lo Social núm. 35 de Madrid y del Auto de 18 de junio de 1996 dictado por la Sala Cuarta del Tribunal Supremo, acreditando fehacientemente la fecha en que éste último fue notificado a su representación procesal. </w:t>
      </w:r>
    </w:p>
    <w:p w:rsidRPr="00C21FFE" w:rsidR="00F31FAF" w:rsidRDefault="00356547">
      <w:pPr>
        <w:rPr/>
      </w:pPr>
      <w:r w:rsidRPr="&lt;w:rPr xmlns:w=&quot;http://schemas.openxmlformats.org/wordprocessingml/2006/main&quot;&gt;&lt;w:lang w:val=&quot;es-ES_tradnl&quot; /&gt;&lt;/w:rPr&gt;">
        <w:rPr/>
        <w:t xml:space="preserve">La Sección en providencia de 8 de enero de 1997 acordó admitir a trámite la demanda de amparo y, en aplicación de lo dispuesto en el art. 51 LOTC, dirigir atenta comunicación a la Sala de lo Social del Tribunal Superior de Justicia de Madrid y al Juzgado de lo Social núm. 35 de Madrid para que remitan certificación o fotocopia adverada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en providencia de 24 de febrero de 1997 acordó tener por personada y parte en el procedimiento a la Procuradora doña María Teresa de las Alas-Pumariño Larrañaga, en nombre y representación de RENFE; y dar vista de las actuaciones recibidas por un plazo común de veinte días al Ministerio Fiscal y a las partes personadas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RENFE solicitó la desestimación del amparo.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Sentencias de 15 de abril, 23 de septiembre, 1 de octubre y 20 de diciembre de 1996 ha considerado que no es acertada la doctrina de la Sentencia de la Sala de lo Social del Tribunal Superior de Justicia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16/1995).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además de precisar que la Resolución de la Agencia de Protección de Datos está impugnada en vía judicial, subraya que el recurrente nada razona ni expone, sino que se limita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A 1.054 trabajadores afiliados a CC.OO. no se les efectuó descuento alguno y este Sindicato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el otorgamiento del amparo por lesión del derecho de libertad sindical. Ante todo, plantea el problema de si puede entenderse cumplido el requisito previsto en el art. 44.1 a) LOTC por la utilización incorrecta de la vía recursal emprendida por el actor constándole la carencia de firmeza de las Sentencias contradictorias, lo que produjo la inadmisión del recurso de casación para la unificación de doctrina, aunque finalmente descarta el obstáculo en aras del principio pro actione y ante la inexistencia de una jurisprudencia consolidada sobre el agotamiento defectuoso y los casos que este concepto abarca.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No es cuestionable la legalidad del sistema de cobro de la cuota sindical al amparo del art. 11.2 L.O.L.S. y tampoco que esta circunstancia viene protegida por el art. 4.2 de la Ley Orgánica 5/1992. Es de señalar que la STC 292/1993 ha abarcado en el arco protector de tal Ley el dato de la afiliación sindical como atinente a la ideología del individuo. La utiliza- ción desviada de un dato cedido voluntariamente para otro fin puede incidir directamente en la intimidad del individuo. De ahí que la afirmación del fundamento jurídico séptimo in fine de la Sentencia resulta hartamente desvirtuadora de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junio de 1998,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de amparo coincide en sus trazos esenciales con el que fue enjuiciado por la Sala Primera en la STC 11/1998, a la cual siguieron las SSTC 33 y 35/1998, así como más adelante, no mucho más, la STC 95/1998 de esta misma Sala.  En términos de economía y comodidad sería, pues, suficiente aquí y ahora con un reenvío a ellas para hacer saber a todos el fundamento de ésta. Sin embargo, en un punto medio, entre la transcripción íntegra de la Sentencia anterior y la remisión sin más, conviene a la ocasión ofrecer un resumen claro y expresivo de aquéllas. Ahora bien, aún siendo idéntico sustancialmente en todos los casos el pronunciamiento final del Tribunal Superior de Justicia, en suplicación, el curso procesal varia según los casos, ya que en unos se revoca la decisión del Juez en la primera instancia y en otros, como este de hoy, se ratifica. Pues bien, dentro de un planteamiento general común, pero con algunos matices, es lo cierto que el común denominador de todos ellos para respaldar la pretensión, desde una perspectiva estrictamente constitucional, son el derecho a la intimidad y la libertad sindical, por una parte, y la incongruencia por la otra aun cuando ésta se enfoque con distinta extensión o amplitud, unas veces meramente omisiva y en ocasiones por alteración o deformación del debate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caso el objeto del amparo, visto desde la perspectiva constitucional que nos es propia, guarda una semejanza rayana en la identidad con el enjuiciado por una reciente Sentencia nuestra, la STC 95/1998, una vez salvada la inadmisibilidad por no haber agotado la vía judicial previa acudiendo a la casación para unificación de doctrina, excepción no utilizada aquí. Allí, ante todo, se admite como suficiente no obstante su parquedad, la fundamentación jurídica de la Sentencia impugnada donde, al igual que aquí, se da respuesta congruente a las cuestiones planteadas en Suplicación, sin que pueda reprocharsele haber revisado ex officio la decisión judicial de instancia, ignorando la naturaleza extraordinaria de tal recurso y sin que "la ausencia de una contestación expresa a todos y cada uno de los motivos esgrimidos" viole el derecho a una efectiva tutela judicial.</w:t>
      </w:r>
    </w:p>
    <w:p w:rsidRPr="00C21FFE" w:rsidR="00F31FAF" w:rsidRDefault="00356547">
      <w:pPr>
        <w:rPr/>
      </w:pPr>
      <w:r w:rsidRPr="&lt;w:rPr xmlns:w=&quot;http://schemas.openxmlformats.org/wordprocessingml/2006/main&quot;&gt;&lt;w:lang w:val=&quot;es-ES_tradnl&quot; /&gt;&lt;/w:rPr&gt;">
        <w:rPr/>
        <w:t xml:space="preserve">Esto es así también aquí, como también conviene al caso la conclusión que pone fin y en cierto modo resume el discurso o la argumentación de esa misma Sentencia nuestra. Aquí como allí ha de concluirse, en suma, que tuvo lugar una lesión conjunta de la libertad sindical y del derecho a la intimidad.  "Este -dice su tenor- no solo entraña un específico instrumento de protección de los derechos del ciudadano frente al uso torticero de la tecnología informática, sino que consagra un derecho fundamental autónomo a controlar el flujo de informaciones que conciernen a cada persona -a la "privacidad" según el neologismo que reza en la Exposición de Motivos de la L.O.R.T.A.D.-, pertenezcan o no al ámbito más estricto de la intimidad, para así preservar el pleno ejercicio de sus derechos. Trata de evitar que la informatización de los datos personales propicie comportamientos discriminatorios. Y aquí se utilizó un dato sensible, que había sido proporcionado con una determinada finalidad, para otra radicalmente distinta con menoscabo del legítimo ejercicio del derecho de libertad sindical". Ello conduce derechamente al otorgamiento del amparo solicitado para lo cual hemos de declarar la nulidad de las dos Sentencias que son objeto de este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Luis Bariñaga González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libertad sindical, art. 28.1 C.E.  en conexión con el art. 18.4 de la misma.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6 de julio de 1995, recaída en el recurso de suplicación núm.  1369/95, así como la del Juzgado de lo Social núm. 35 de Madrid de 3 de noviembre de 1994, dictada en autos núm. 723/94, retrotrayendo las actuaciones al momento de dictarse ésta para que se dicte otra donde se respeten los derechos fundamentales antes mencionados.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