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3296-2003, promovido por el Letrado don Pedro Díez Llavero en interés de don Mamadou Sylla, al que por el turno de justicia gratuita se le designó la Procuradora de los Tribunales doña Elena Beatriz López Macías, contra el Auto de 29 de abril de 2003 del Juzgado de Instrucción núm. 3 de los de Puerto del Rosario, por el que se inadmite a trámite la solicitud de habeas corpus presentada por don Mamadou Sylla.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mayo de 2003 el Letrado don Pedro Díez Llavero, manifestando defender de oficio a don Mamadou Sylla, interpuso recurso de amparo contra la resolución del Juzgado de Instrucción núm. 3 de los de Puerto del Rosario citada más arriba. En él solicitaba el Letrado que se oficiara al Colegio de Procuradores de Madrid a efectos de que nombrase a uno de sus colegiados para representar al demandante y se indicaba que si el afectado no había solicitado personalmente el amparo del Tribunal se debía a que se desconoce su paradero.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Tal como el Letrado afirma en su demanda el Sr. Sylla fue detenido el 27 de abril de 2003, por agentes de la policía nacional de la Comisaría de Puerto del Rosario, cuando trataba de acceder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29 de abril de 2003, por medio de escrito firmado por el interesado y el Letrado don Pedro Díez Llavero,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de extranjería), competencia atribuida al Subdelegado del Gobierno en Las Palmas, sin que le constara que tal Subdelegado hubiera autorizado tal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3 de Puerto del Rosario resolvió sobre la petición mediante Auto de 29 de abril de 2003, que inadmitía a trámite la solicitud de habeas corpus presentada. El fundamento jurídico segundo de la resolución tenía el siguiente contenido: “En el caso de autos, la solicitud se ha producido cuando ya existe una orden judicial de internamiento de los solicitantes, procedimiento de diligencias indeterminadas 98/03 tramitado en este mismo Juzgado. En dicho procedimiento se ha dado audiencia a estos en el día de hoy en horas de la mañana, con asistencia de su intérprete y del Letrado firmante del escrito, y se ha decretado su internamiento. Pues bien, solicitar por el Letrado en el día de hoy y en horas de la tarde procedimiento de habeas corpus de sus representados es un acto de absoluto desconocimiento del concepto y la finalidad de dicho procedimiento” puesto que “la única y exclusiva finalidad del procedimiento de habeas corpus es poner a disposición judicial a las personas que pudieran estar detenidas ilegalmente. Y en el momento en que se ha presentado la solicitud, los solicitantes ya no están privados de libertad por orden de la autoridad gubernativa, sino que están sujetos a la medida cautelar de internamiento autorizada judicialmente tal como prevé la Ley Orgánica 4/2000 de Derechos y Libertades de los Extranjeros en España, reformada por la Ley 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28 de mayo de 2003 de la Sección Primera de este Tribunal se acordó librar despacho al Colegio de Abogados de Madrid para que se designara al citado recurrente Procurador del turno de oficio que le representara en el presente recurso de amparo. Recibido el despacho correspondiente, se tuvo por hecha la designación mediante nueva diligencia de ordenación, de 23 de junio de 2003, en la que asimismo se acordaba conceder a la Procuradora doña Elena Beatriz López Macías, de conformidad con el art. 50.5 LOTC, un plazo de diez días para que acreditase con su firma la asunción de la representación del recurrente en la demanda presentada por el Letrado don Pedro Díez Llavero, lo que hizo el 27 de junio de 2003, mediante personación en la Secretaría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dictó providencia el 4 de noviembre de 2004 acordando la admisión a trámite de la demanda de amparo formulada por don Mamadou Sylla, “sin perjuicio de lo que resulte de los antecedentes” y teniendo por personada y parte en nombre y representación del mismo a la Procuradora de los Tribunales doña Elena Beatriz López Macías.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Primera de 9 de diciembre de 2004 se tuvieron por recibidos los testimonios de las actuaciones remitidos por el Juzgado de Instrucción núm. 3 de Puerto del Rosario para el recurso de amparo núm. 3302-2003, acordando deducir copia de los mismos e incorporarla al presente recurso por tratarse del mismo procedimiento, y, a tenor de lo dispuesto en al art. 52 LOTC, se dio vista de todas las actuaciones, en la Secretaría de la Sala Primera,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enero de 2005, el Ministerio Fiscal interesó, al amparo del art. 89 LOTC, que se recabase del Juzgado de Instrucción núm. 3 de Puerto del Rosario la remisión de testimonio de las diligencia policiales 1034-2003 y de las diligencias indeterminadas 98-2003, por no encontrarse incorporadas a las actuaciones y ser necesarias para evacuar el trámite conferido en la diligencia de ordenación de 9 de diciembre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19 de enero de 2005, se acordó suspender el plazo para presentar alegaciones y solicitar del Juzgado de Instrucción núm. 3 de Puerto del Rosario la remisión de los testimonios de las diligencia policiales 1034-2003 y de las diligencias indeterminadas 98-2003. Mediante otra diligencia de ordenación de la Sección Primera de 10 de marzo de 2005 se tuvieron por recibidos los mismos y, a tenor de lo dispuesto en el art. 52 LOTC, se dio vista de todas las actuaciones en la Secretaría de la Sala Primera y se otorgó un nuevo plazo de veinte días al Ministerio Fiscal y a las partes personadas para que pudieran presentar las alegaciones que tuvieran por conveniente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abril de 2005 presentó sus alegaciones la representación procesal de don Mamadou Sylla remitiéndose en ellas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registradas en la misma fecha, el Ministerio Fiscal, con invocación de las SSTC 94/2003 y 23/2004, interesa la desestimación del presente recurso de amparo porque, al instarse el habeas corpus, “ya se había producido el control judicial de dicha privación de libertad puesto que el detenido había sido 'manifestado' al Juez y, además, se había acordado por dicho Juez su internamiento preventivo conforme a la legislación de extranjería en el marco del procedimiento correspondiente, en el cual, además, el detenido, por medio de su defensa, expuso lo que tuvo por conveniente para obtener su libertad y no tuvo obstáculo alguno para proponer la prueba que hubiese estimado pertinente para la defensa de su pretensiones”, de suerte que “el fundamento de la decisión de inadmisión de la solicitud de habeas corpus adoptada es, más que la 'legalidad' de la detención, la pérdida de su objeto producida como consecuencia de la intervención judicial que tuvo lugar en otro proceso tramitado simultáneamente, ya que si la finalidad del procedimiento de habeas corpus es el control judicial de la privación de libertad acordada por la autoridad gubernativa, dicha finalidad desaparece desde el momento en que tal control se produce, aunque sea en el marco de otro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diciembre de 2005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Impugnado en este proceso el Auto de 29 de abril de 2003 del Juzgado de Instrucción núm. 3 de Puerto del Rosario, que inadmitió a trámite la petición de habeas corpus deducida por don Mamadou Sylla, es de señalar que las cuestiones aquí planteadas han sido ya resueltas por la STC 303/2005, de 24 de noviembre, en la que destacábamos que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LECrim”. Y, sobre esta base, llegábamos a la conclusión de que “las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examina, al instarse el habeas corpus, como subraya el Fiscal, el Juez, aplicando la mencionada normativa, ya había oído al demandante de amparo, con intérprete y asistido por Letrado y ya había dictado Auto disponiendo su ingreso en un centro de internamiento por un periodo máximo de cuarenta días, que no habían transcurrido en el momento de solicitar el indicado procedimiento.</w:t>
      </w:r>
    </w:p>
    <w:p w:rsidRPr="00C21FFE" w:rsidR="00F31FAF" w:rsidRDefault="00356547">
      <w:pPr>
        <w:rPr/>
      </w:pPr>
      <w:r w:rsidRPr="&lt;w:rPr xmlns:w=&quot;http://schemas.openxmlformats.org/wordprocessingml/2006/main&quot;&gt;&lt;w:lang w:val=&quot;es-ES_tradnl&quot; /&gt;&lt;/w:rPr&gt;">
        <w:rPr/>
        <w:t xml:space="preserve">Así las cosas, y como ya señalábamos en la citada STC 303/2005, hemos de concluir que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promovido en interés de don Mamadou Sylla.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