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suspensión de la ejecución de la Sentencia de 15 de septiembre de 1986 dictada por la Sala Segunda de la Audiencia Territorial de Madrid en el rollo de apelación núm.  1.289/83.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11 de octubre de 1986, el Procurador de los Tribunales don Santos de Gandarillas Carmona interpone recurso de amparo, en nombre y representación de «Curipa, S. A.», contra Sentencia de 15 de septiembre de 1986 de la Sala Segunda de lo Civil de la Audiencia Territorial de Madrid, resolutoria de apelación contra la dictada por el Juzgado de Primera Instancia núm. 9 de la misma capital, en juicio ejecutivo, así como frente al Auto de la expresada Sala, de 29 de septiembre de 1986, por el que se declara no haber lugar a la pretensión de haberse producido error material manifiesto en su Sentencia de la indicada fecha. Como fundamento de la demanda de amparo se alega la vulneración del derecho a la tutela juidicial efectiva y el de utilizar los medios de prueba pertinentes para la propia defensa (art. 24.1 y 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tiene su origen en los siguientes hechos: La recurrente fue condenada por el Juzgado de Primera Instancia núm. 8 de Madrid a responder, como garante solidaria, de una póliza de préstamo, tras no prosperar la excepción de falsedad del título ejecutivo y habiéndole sido previamente embargados bienes para responder del principal ( 11.500.000 pesetas) y de los intereses y costas (4.000.000 de pesetas). Formulada apelación por la hoy recurrente ante la Audiencia Territorial de Madrid, y habiendo sido el pleito recibido a prueba (documental) el 15 de septiembre de 1986, la Audiencia dictó Sentencia desestimando el recurso y declarando, en el tercero de sus resultandos, haber transcurrido el término por el que el pleito fue recibido a prueba «sin la aportación de ningún documento». La actora presentó escrito interesando la rectificación de error material manifiesto derivado de la no incorporación de la prueba que afirma haber aportado, y la Sala dictó Auto declarando no haber lugar a lo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de amparo, la representación de la recurrente solicita sea suspendida la ejecución de las Sentencias impugnadas, porque de ejecutarse se consumarían todas las consecuencias de la indefensión sufrida por su representada, y se subastarían sus bienes, con lo que el perjuicio que sufriría sería auténticamente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la demanda, la Sección Tercera (Sala Segunda) de este Tribunal, por providencia de 5 de noviembre de 1986, acuerda formar pieza separada de suspensión y, conforme a lo dispuesto en el art. 56.2 de la Ley Orgánica del mismo (LOTC), otorgar un plazo común de tres días al Ministerio Fiscal y a la parte recurrente para que aleguen lo que estimen procedente respecto de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14 de noviembre de 1986, se manifiesta conforme con la petición de la recurrente por cuanto, de no accederse a la misma, «si el recurso prospera se podría en abstracto recobrar los bienes por la recurrente, pero en concreto supondría una serie de perjuicios e inconvenientes que crearían una situación que no podría íntegramente repararse, e incluso podría devenir imposible dicha restitución». Con todo, considera que se debería exigir a la recurrente la garantía que el Tribunal estime pertinente a los efectos de afianzar los posibles perjuicios económicos que pudierna derivarse de la falta de disponibilidad y pérdida de intereses que la suspensión de la efectividad de la Sentencia supondría para la demandante en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actora, por escrito registrado el 17 de noviembre de 1986, reitera su petición de suspensión de la ejecución de las indicadas Sentencias, relacionando los bienes que le han sido embargados para responder del principal, intereses y costas, los cuales, de ser subastados, aun cuando se declarase la nulidad del título ejecutivo, no podrían ser reivindicados de quienes legítimamente los hayan adquirido en subasta.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del recurrente, la ejecución del acto de los poderes públicos por razón del cual se reclama el amparo constitucional, cuando la ejecución hubiera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junto a estos supuestos de suspensión preceptiva, la Sala ha entendido que existen otros de suspensión facultativa, en los cuales puede concederse la suspensión valorando los intereses en presencia y teniendo en cuenta, a tal efecto, el interés general que existe en la ejecución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parte recurrente solicita la suspensión de la ejecución de la Sentencia recurrida en amparo, que es la dictada por la Sala Segunda de la Audiencia Territorial de Madrid, con fecha 15 de septiembre de 1986 (rollo 1.289/83), que confirma en todas sus partes la del Juzgado de Primera Instancia núm. 8 de Madrid por la que, a su vez, estimando la demanda de juicio ejecutivo, se ordenaba «seguir adelante la ejecución hasta hacer trance y remate de los bienes de los demandados, y con su producto cumplido y entero pago a la actora de la cantidad de 11.500.000 pesetas, más los intereses vencidos y no satisfechos a razón del 20 por 100 anual y los intereses de demora del 22 por 100 anual y a las costas causadas y que se causen hasta la liquidación de tales sumas».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estas circunstancias procede acordar la suspensión, dado que, como señala el Ministerio Fiscal, si bien el recurrente podría en abstracto, y de prosperar la excepción de nulidad del titulo ejecutivo, recobrar sus bienes, en concreto se le originaría una serie de perjuicios e inconvenientes que no quedarían en este supuesto compensados por la consideración del interés general que existe en la ejecución de las resoluciones judiciales; por lo demás, tampoco se aprecia que de la suspensión solicitada pueda seguirse perturbación grave de los intereses generales o de los derechos fundamentales o libertades públicas de un tercero.  No procede la prestación del afianzamiento al que se refiere el Ministerio Fiscal porque, al estar embargados los bienes, constituye este embargo adecuada garantía para el caso de que proceda finalmente su enajenación.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suspensión de la ejecución de la Sentencia de 15 de septiembre de 1986 dictada por la Sala Segunda de la Audiencia Territorial de Madrid en el rollo de apelación núm.  1.289/83.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