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septiembre de 1998, doña Blanca Aurora Jiménez Salazar, bajo la representación procesal de la Procuradora doña Gema de Luis Sánchez, interpuso demanda de amparo constitucional contra la Sentencia 222/1997 de la Sala Segunda del Tribunal Supremo de 1 de septiembre de 1998 por la que se declara no haber lugar al recurso de casación interpuesto contra la Sentencia 2/1997 de la Audiencia Provincial de Salamanca de 22 de enero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Audiencia Provincial de Salamanca por Sentencia de 22 de enero de 1997 condenó a la recurrente en amparo, como autora de un delito contra la salud pública, tipificado en el art. 344 en relación con el art. 344 bis a) 3 C.P. vigente en la fecha en que se cometieron los hechos por resultar esta norma más favorable que el Código Penal vigente, a las penas de nueve años de prisión mayor, con las accesorias de suspensión de cargo público y del derecho de sufragio durante el tiempo que dure la condena, multa de 100.000.001 pesetas, así como al pago una tercera parte de las costas causadas. </w:t>
      </w:r>
    </w:p>
    <w:p w:rsidRPr="00C21FFE" w:rsidR="00AD51A7" w:rsidRDefault="00AD51A7">
      <w:pPr>
        <w:rPr/>
      </w:pPr>
      <w:r w:rsidRPr="&lt;w:rPr xmlns:w=&quot;http://schemas.openxmlformats.org/wordprocessingml/2006/main&quot;&gt;&lt;w:lang w:val=&quot;es-ES_tradnl&quot; /&gt;&lt;/w:rPr&gt;">
        <w:rPr/>
        <w:t xml:space="preserve">b) Según se afirma en el relato de los hechos probados contenido en esta Sentencia la policía detuvo a don José Herreros Ramos cuando llevaba en su automóvil seis paquetes de heroína con un peso total de 2.946,24 gramos y con una riqueza media de 46,41 por 100. En esta Sentencia se considera probado que don José Herrero Ramos realizaba este servicio por cuenta de la recurrente en amparo y, de doña Soledad Bermúdez Lobato, a quienes, a cambio de una cantidad de dinero, entregaba la droga para que procedieran a su distribución en cantidades menores. </w:t>
      </w:r>
    </w:p>
    <w:p w:rsidRPr="00C21FFE" w:rsidR="00AD51A7" w:rsidRDefault="00AD51A7">
      <w:pPr>
        <w:rPr/>
      </w:pPr>
      <w:r w:rsidRPr="&lt;w:rPr xmlns:w=&quot;http://schemas.openxmlformats.org/wordprocessingml/2006/main&quot;&gt;&lt;w:lang w:val=&quot;es-ES_tradnl&quot; /&gt;&lt;/w:rPr&gt;">
        <w:rPr/>
        <w:t xml:space="preserve">c) Contra esta Sentencia se interpuso recurso de casación. Por Sentencia de 1 de septiembre de 1998 el Tribunal Supremo declaró no haber lugar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24.22 C.E. Según alega la recurrente en amparo las resoluciones Judiciales impugnadas han lesionado su, derecho fundamental a la presunción de inocencia al haber sido condenada sin existir prueba de cargo suficiente, ya que la prueba principal fue el testimonio de un coimputado; testimonio que, a juicio de la demandante, no tiene fuerza suficiente para destruir la presunción de inocencia, ya que puede obedecer al deseo de obtener un trato procesal más favorable. Tampoco considera prueba bastante las declaraciones de los tres testigos, dos de ellos Agentes de Policía, en el juicio oral, ya que ninguno de ellos aportó datos que demostrasen la participación de la recurrente en amparo en los hechos enjuiciados. </w:t>
      </w:r>
    </w:p>
    <w:p w:rsidRPr="00C21FFE" w:rsidR="00AD51A7" w:rsidRDefault="00AD51A7">
      <w:pPr>
        <w:rPr/>
      </w:pPr>
      <w:r w:rsidRPr="&lt;w:rPr xmlns:w=&quot;http://schemas.openxmlformats.org/wordprocessingml/2006/main&quot;&gt;&lt;w:lang w:val=&quot;es-ES_tradnl&quot; /&gt;&lt;/w:rPr&gt;">
        <w:rPr/>
        <w:t xml:space="preserve">También se aduce vulneración del 24.2 C.E. por haberse vulnerado su derecho fundamental a un proceso con todas las garantías al haber otorgado el Tribunal sentenciador plena credibilidad a la manifestación del coimputado sin haber aportado ningún otro dato objetivo que la ratifique. A juicio de la recurrente, el Tribunal sentenciador debió aplicar el principio in dubio pro reo pues considera que en caso de duda sobre la virtualidad de las pruebas debe optarse por solución más favorable al acusado.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22 de febrero de 1999, acordó de conformidad con dispuesto en el art. 50.3 LOTC conceder al demandante de amparo y, al Ministerio Fiscal el plazo común de diez días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22 de marzo de 1999 el Ministerio Fiscal formuló sus alegaciones solicitando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abril de 1999 la recurrente en amparo presentó en el Registro de este Tribunal un escrito en el que reiterando las alegaciones formuladas en el escrito de demanda solicitaba de este Tribunal la admisión a trámite de la demanda de amparo al entender que las quejas aducidas no carecen manifiestamente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Segunda, por providencia de 8 de junio de 1999, acordó admitir a trámite la demanda de amparo y en virtud de lo dispuesto en el art. 51 LOTC dirigir atenta comunicación la Sala Segunda del Tribunal Supremo, a fin de que, en un plazo que no excediera de diez días, remitiera certificación o fotocopia adverada de las actuaciones correspondientes al recurso de casación núm. 435/97 a la Audiencia Provincial de Salamanca para que también en un plazo de diez días remitiera certificación o fotocopia adverada de las actuaciones correspondientes al rollo núm. 3/96, debiendo previamente emplazar a los que hubieran sido parte en el procedimiento, excepto la parte recurrente en amparo, para que, en igual plazo, si lo deseaban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Asimismo se acordó, de conformidad con lo previsto en el art. 83 LOTC, conceder el plazo común de diez días a la parte recurrente y al Ministerio Fiscal para que alegasen lo que estimaran oportuno respecto de la posible acumulación del presente recurso al seguido en la misma Sala con el núm. 4.030/98.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otra providencia de la misma fecha la Sala Segunda acordó formar la presente pieza separada de suspensión. Y, de conformidad con lo prevenido en el art. 56 LOTC, conceder un plazo común de tres días al Ministerio Fiscal y a la solicitante de amparo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el 18 de junio en el Juzgado de guardia el demandante de amparo reiteró la petición de suspensión alegando que en el caso de no otorgarse la suspensión solicitada el amparo perdería su finalidad y que, además, el otorgamiento de la suspensión no produciría perturbación grave ni en los derechos de terceros ni tampoco a los intereses generales. También se alega que la recurrente en amparo, carece de antecedentes penales. Cuenta con un domicilio fijo conocido, en el que convive con su familia, y es una persona con arraigo personal y familiar en la zona, llevando una vida acorde con la legalidad.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presentó sus alegaciones por escrito registrado en este Tribunal el 24 de junio de 1999, interesando la denegación de la suspensión. Sostiene el Fiscal que al darse la doble circunstancia de que el delito por el que ha sido condenada la recurrente Ädelito contra la salud públicaÄ constituye un ilícito cuya comisión es de notarla gravedad y, ser la pena impuesta de larga de duración, no puede ser otorgada la suspensión, ya que si se concediera se vería afectado gravemente al interés general.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hiciera perder al amparo su finalidad. No obstante, en su segundo inciso, consagra un límite a esta posibilidad de suspensión al prever que la suspensión podrá ser denegada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entre otros muchos)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(AATC 143/1992, 254/1997,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pérdida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numerosas Resoluciones este Tribunal ha establecido como criterio general la improcedencia de la suspensión de la. ejecución de aquellos fallos judiciales que admiten la restitución íntegra de lo ejecutado, tal y como ocurre, con carácter general, y sin perjuicio de las excepciones que puedan existir, en las condenas de contenido patrimonial. No sucede lo mismo, por el contrario, en aquellos casos en los que la condena afecta a bienes o derechos del recurrente en amparo de muy difícil o imposible reparación, tal y como ocurre con las penas privativas de libertad. Por esta razón este Tribunal viene declarando de forma reiterada que como la ejecución de penas privativas de libertad pueden ocasionar al recurrente perjuicios irreparables que hagan perder al amparo su finalidad, en estos casos el criterio debe ser, en principio, el de su suspensión.</w:t>
      </w:r>
    </w:p>
    <w:p w:rsidRPr="00C21FFE" w:rsidR="00AD51A7" w:rsidRDefault="00AD51A7">
      <w:pPr>
        <w:rPr/>
      </w:pPr>
      <w:r w:rsidRPr="&lt;w:rPr xmlns:w=&quot;http://schemas.openxmlformats.org/wordprocessingml/2006/main&quot;&gt;&lt;w:lang w:val=&quot;es-ES_tradnl&quot; /&gt;&lt;/w:rPr&gt;">
        <w:rPr/>
        <w:t xml:space="preserve">Ahora bien, como se acaba de señalar este criterio general no es absoluto, pues también es jurisprudencia de este Tribunal que en tales supuestos ha de atenderse además a otras circunstancias,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210/1981, 486/1983, 476/1984, 418/1985 y entre los más recientes 53/1992, 152/1995, 196/1995, 121/1996, 163/1996, 170/1996, 226/1996, 228/1996, 310/1996, 348/1996, 349/1996, 124/1997, 419/1997, 47/1998, 48/1998, 265/1998).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Dada la larga duración de la pena privativa de libertad impuesta Änueve años de prisión mayorÄ no procede suspender su ejecución. Como se ha afirmado anteriormente, aunque la regla general de este Tribunal es que en el caso de penas privativas de libertad debe ser la suspensión, ya que su cumplimiento conlleva en sí mismo una pérdida, al menos parcial, de la finalidad de amparo, también se ha indicado que esta regla general no esta exenta de excepciones una de estas excepciones es, precisamente, la duración de la pena, ya que en el supuesto de que la pena sea de larga duración el interés general reclama con especial intensidad su ejecución" (ATC 214/1997). Esta conclusión se impone no sólo por el necesario mantenimiento de la confianza en la justicia penal y los efectos disuasorios que se derivan de la finalidad de prevención general de los delitos (ATC 310/1996, 419/1997, 265/1998), sino también porque, como ha señalado el ATC 265/1998, la duración de la pena cuantifica el desvalor del comportamiento enjuiciado y el daño social producido, según la apreciación del Tribunal sentenciador, que nosotros no podemos revisar en este trámite".</w:t>
      </w:r>
    </w:p>
    <w:p w:rsidRPr="00C21FFE" w:rsidR="00AD51A7" w:rsidRDefault="00AD51A7">
      <w:pPr>
        <w:rPr/>
      </w:pPr>
      <w:r w:rsidRPr="&lt;w:rPr xmlns:w=&quot;http://schemas.openxmlformats.org/wordprocessingml/2006/main&quot;&gt;&lt;w:lang w:val=&quot;es-ES_tradnl&quot; /&gt;&lt;/w:rPr&gt;">
        <w:rPr/>
        <w:t xml:space="preserve">Tampoco procede otorgar ni la suspensión de los pronunciamientos de contenido económico de la Sentencia, es decir, la multa de 100.000.001 pesetas y la condena al pago de una tercera parte de las costas causadas, pues en el caso de que se estimara el amparo, el perjuicio que de la ejecución de esta parte del fallo, pudiera derivarse podría ser reparado (AATC 88/1995, 103/1995, 318/199, entre otros muchos), ni la de las penas accesorias impuestas (suspensión de cargo público y derecho de sufragio durante el tiempo de la condena), ya que este tipo de penas siguen la misma suerte que la principal (AATC 202/1992, 96/1993, 6/1996, 318/1997).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no obstante, que dada la irreparabilidad y la gravedad de los perjuicios que la ejecución de la condena que no ha sido suspendida causaría a la recurrente en el caso de que este Tribunal estimara el presente recurso de amparo, estamos obligados a reducir en lo posible tan negativos efectos, por lo que como se ha hecho en casos análogos (entre otros, AATC 144/1990, 169/1995, 246/1996, 987/1996, 385/1996, 419/1997, 47/1998, 48/1998, 79/1998 265/1998, 267/1998, 268/1998) es procedente resolver en el más breve plazo posible el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