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280</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noviembre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4975-1998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4.975/1998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anteriormente expuesto, la Sección acuerda la inadmisión de la demanda de amparo formulada por don José Luis Casas Marín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Carlos de Ocón Boronat, en nombre y representación de don José Luis Casas Marín, y mediante escrito presentado el 27 de noviembre de 1998 en el Registro de este Tribunal, interpuso el recurso de amparo contra la Providencia que el Juez de Primera Instancia núm. 56 de Madrid dictó, el 10 de noviembre de 1998, en procedimiento de jura de cuentas.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sostiene que se le ha vulnerado el derecho a la tutela judicial efectiva sin indefensión (art. 24.1 CE), al no haberle permitido el Juez que realizara las alegaciones que intentó formular sobre la cuestión debatida en dicho procedimiento, contradiciendo claramente, según su juicio, la doctrina de las SSTC 110/1993 y 11/1997.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en providencia de 13 de octubre de 1999, acordó, de conformidad con lo dispuesto en el art. 50.3 LOTC, conceder al demandante de amparo y al Fiscal el plazo común de diez días para que pudieran formular las alegaciones que estimasen pertinentes en relación con la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evacuó el traslado el 24 de noviembre de 1999, en escrito en el que interesó la inadmisión de la presente demanda al considerar que la misma carecía manifiestamente de contenido constitucional. A la vista de la documentación existente y de la respuesta razonada que ofrece el órgano judicial, para el Fiscal no parece que se haya producido lesión alguna de la tutela judicial efectiva. Las referencias que el demandante hace a las Sentencias de este Tribunal no autorizan a pensar que se haya generado indefensión, pues las alegaciones mínimas que se permiten en este procedimiento sumario no están relacionadas con el escrito del recurrente, que se centra en cuestiones relativas a las relaciones de los profesionales intervinientes.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demandante, por su parte, presentó sus alegaciones el 12 de noviembre de 1999; y en el escrito que hizo llegar a tal efecto reiteró lo ya argumentado en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Por medio del presente recurso se impugna una providencia dictada por el Juez de Primera Instancia núm. 56 de Madrid, en procedimiento de jura de cuentas, por entender el recurrente que ha sido desconocido su derecho a la tutela judicial efectiva.  Pues bien, una vez cumplimentado el trámite de alegaciones que está previsto en el art. 50.3 LOTC, se confirman los indicios que señalaban hacia la aparente ausencia de contenido constitucional de la presente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STC 110/1993 ya declaramos que el procedimiento de jura de cuentas, previsto en los arts. 8 y 12 LEC, no supone una vulneración del art. 24 CE, siempre que se interpreten dichos artículos LEC con determinadas cautelas.  Pues bien, en el caso presente, la queja del recurrente excede del ámbito específico al que se contrae este procedimiento especial, como bien ha resaltado el Fiscal. En efecto, las alegaciones que el recurrente ha intentado hacer llegar al Juez no pueden incardinarse dentro de las de naturaleza procesal o adjetiva, al incidir directamente en la cuestión de fondo atinente a las relaciones del recurrente con los profesionales que le defendieron, y, que, en consecuencia, sólo podrán ser solventadas, en su caso, en el correspondiente juicio declarativo ordinario.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anteriormente expuesto, la Sección acuerda la inadmisión de la demanda de amparo formulada por don José Luis Casas Marín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noviembre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