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abril de 2000, la Procuradora de los Tribunales, doña Sonia Casqueiro Alvarez, en nombre y representación de don José Yáñez Hermida, formuló recurso de amparo contra la Sentencia dictada por la Audiencia Provincial de A Coruña, de 20 de enero de 2000, que confirma en apelación la dictada por el Juzgado de lo Penal de El Ferrol, de 29 de junio de 1999, en el procedimiento abreviado núm. 30/97, seguido contra el hoy demandante por delito contra la seguridad en el tráfico. En dicho procedimiento se le condenó como autor de este delito a las penas de multa de cinco meses con cuota diaria de mil pesetas y privación del derecho de conducir vehículos de motor y ciclomotor por período de dos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legalidad sancionatoria (art. 25.1 CE) por cuanto habría sido condenado dos veces por los mismos hechos, ya que fue sancionado con anterioridad en la vía administrativa por haber conducido bajo la influencia de bebidas alcohólicas.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mayo de 2001, la Sección Segunda acordó admitir a trámite la demanda de amparo, abrir pieza separada de suspensión y, de conformidad con lo prevenido en el art. 56 LOTC, conceder un plazo común de tres días, al Ministerio Fiscal y a la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 de junio de 2001, el demandante de amparo, evacuando el trámite de alegaciones, manifestó que la pena de multa ha sido ya ejecutada y que la privación del derecho a conducir vehículo de motor y ciclomotor comenzó a ejecutarse el 3 de mayo de 2000. De otra parte, alega que el recurso de amparo interpuesto carecería de sentido si tuviera que cumplir la pena en su totalidad, dado que los perjuicios causados en caso de resolución favorable del Tribunal serían de imposible reparación, perdiendo el amparo solicitado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5 de junio de 2001, el Ministerio Fiscal, de conformidad con la doctrina constitucional aplicable interesa la denegación la suspensión solicitada. De un lado, en relación con la pena de multa recuerda la doctrina de este Tribunal en el sentido de que no procede la suspensión de la ejecución de los pronunciamientos de carácter económico dado que resulta posible su reparación mediante reintegro de lo abonado. De otra parte, respecto de la pena de privación del derecho de conducir vehículos de motor y ciclomotor, entiende que, de conformidad con la doctrina constitucional más moderna (AATC 30/1999 y 53/1999) que matiza la anterior (AATC 152/1997 y 55/1998), no procede la suspensión instada, por cuanto una resolución positiva requeriría que el demandante hubiera alegado circunstancias personales o profesionales idóneas para acreditar el grave perjuicio que le causaría la ejecución de dicha pena, pues, en otro caso, habría de prevalecer el interés general en la efectividad de la condena. De modo que, en la medida en que el recurrente no alega tales circunstancias concretas que sustentarían un perjuicio personal específico, sino que solicita la suspensión de dicha pena con base en un genérica fundamentación, debe denegarse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 manifestado por el recurrente en su escrito de alegaciones se desprende que el objeto de la suspensión interesada ha quedado reducido al pronunciamiento de las resoluciones judiciales impugnadas relativas a la pena de privación del derecho a conducir vehículos de motor y ciclomotor. En relación con dicho pronunciamiento hemos de recordar que, de conformidad con lo dispuesto en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inciso segundo de este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normativas, este Tribunal ha declarado de forma reiterada que la suspensión de la ejecución de una resolución judicial entraña una perturbación de la función jurisdiccional, existiendo, por tanto, un interés general en su ejecución (AATC 81/1981, 242/2000 entre muchos). De suerte que habrá de denegarse en principio la suspensión de la ejecución, salvo que el demandante acredite, y este Tribunal aprecie, que la ejecución de la resolución le ocasionaría un perjuicio irreparable. En particular, en relación de la pena de privación del permiso de conducir vehículos de motor, este Tribunal ha acordado la suspensión cuando el demandante alega y acredita un perjuicio específico dada su condición profesional de conductor (ATC 242/2000), o dada la ausencia de transporte público para acceder al lugar de trabajo (ATC 53/1999), por el contrario, la ha negado ante la falta de acreditación de tales perjuicios irreparables (ATC 30/1999).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como afirma el Ministerio Fiscal, el demandante de amparo no alega que la denegación de la suspensión de la pena de privación del permiso de conducir vehículos de motor le ocasione un especial perjuicio derivado de ser su profesión la de conductor, u otros extremos, sino que se refiere de forma general a los perjuicios que derivarían del cumplimiento total de la pena antes de que este Tribunal resuelva el recurso de amparo. Por consiguiente, ponderando, de un lado, el interés general en la ejecución de la resolución judicial y el específico en la ejecución de la pena impuesta a la luz de la conexión del delito por el que ha sido condenado por los Tribunales penales -delito contra la seguridad del tráfico por conducir bajo el efecto de bebidas alcohólicas-, y, de otro, el contenido de la pena a la que se refiere la suspensión solicitada -privación del permiso de conducir- y la específica función asegurativa que ésta cumple en estos casos, ha de denegarse la suspensión solicitada, dado que la misma ocasionaría una perturbación grave en los intereses generales., mientras que el perjuicio que ocasionaría su ejecución al recurrente es, sin más, el inherente a la ejecución de una pena de esta naturaleza y entidad.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