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1852-2001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1852-2001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de Madrid el día 29 de marzo de 2001, el Procurador don Carlos Gómez-Villaboa y Mandri, en representación de don Francisco Javier Minguez Villar del Amo, dedujo demanda de amparo constitucional contra la Sentencia de la Sala Segunda Tribunal Supremo, desestimatoria del recurso de casación interpuesto contra la dictada por la Audiencia Nacional en causa seguida en el Juzgado Central de Instrucción núm. 1 por delito contra la salud pública en virtud de la cual se condenaba, entre otros, al demandante de amparo a la pena de doce años de prisión mayor y multa de 175 millones de pesetas. </w:t>
      </w:r>
    </w:p>
    <w:p w:rsidRPr="00C21FFE" w:rsidR="00AD51A7" w:rsidRDefault="00AD51A7">
      <w:pPr>
        <w:rPr/>
      </w:pPr>
      <w:r w:rsidRPr="&lt;w:rPr xmlns:w=&quot;http://schemas.openxmlformats.org/wordprocessingml/2006/main&quot;&gt;&lt;w:lang w:val=&quot;es-ES_tradnl&quot; /&gt;&lt;/w:rPr&gt;">
        <w:rPr/>
        <w:t xml:space="preserve">El hecho por el que se condenó al demandante consistió en la importación de 145,709 kilogramos de heroína ocultos en el interior de una de dos grandes piedras de mármol importadas desde Chile a través de Bolivia y Marsella.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aduce que el recurso de casación no es un recurso que permita la revisión plena de la condena impuesta en la primera instancia, lo que vulnera, de una parte, el art. 14.5 del Pacto Internacional de Derechos Civiles y Políticos (aludiendo al reciente Dictamen del Comité de Derechos Humanos de 20 de julio de 2000), y, de otra, el principio de igualdad, pues los condenados por delitos menos graves, que son competencia del Juzgado de lo Penal, sí disponen de una segunda instancia en sentido pleno. </w:t>
      </w:r>
    </w:p>
    <w:p w:rsidRPr="00C21FFE" w:rsidR="00AD51A7" w:rsidRDefault="00AD51A7">
      <w:pPr>
        <w:rPr/>
      </w:pPr>
      <w:r w:rsidRPr="&lt;w:rPr xmlns:w=&quot;http://schemas.openxmlformats.org/wordprocessingml/2006/main&quot;&gt;&lt;w:lang w:val=&quot;es-ES_tradnl&quot; /&gt;&lt;/w:rPr&gt;">
        <w:rPr/>
        <w:t xml:space="preserve">En segundo término aduce vulneración del derecho a la presunción de inocencia, pues la condena se basó en las declaraciones sumariales de un coprocesado que no declaró en el juicio oral debido a una sobrevenida enfermedad mental, en las de otro coprocesado que se retractó en el juicio oral de sus manifestaciones sumariales, las cuales no fueron leídas en dicho acto, y, finalmente, en las del propio acusado vertidas en el plenario.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 este Tribunal acordó, mediante providencia de 24 de enero de 2002, admitir a trámite el presente recurso de amparo, formar pieza separada para la tramitación del incidente de suspensión de las resoluciones judiciales impugnadas y conceder un plazo común de tres días a la parte recurrente y al Ministerio Fiscal para que alegasen lo que estimasen conveniente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amparo formuló alegaciones mediante escrito registrado el día 1 de febrero de 2002. En ellas insiste en lo fundado de las dos quejas aducidas, relativas a la vulneración del derecho a la presunción de inocencia y al incumplimiento por España de la resolución del Comité de Derechos Humanos de 20 de julio de 2000, lo que, a su juicio, aconseja la adopción de la medida cautelar de suspensión de la ejecución de las Sentencias recurridas en amparo. Termina argumentando que el cumplimiento de la pena impuesta en la Sentencia ocasionaría al demandante de amparo un perjuicio irreparable, atendida su edad de 56 años y la irremisible pérdida de opciones laborales y de todo tipo si se llegara a producir su absolución, de lo que existen grandes posibilidades. De otra parte es un hecho, afirma, que ha cumplido escrupulosamente sus obligaciones judiciales y que nunca ha intentado sustraerse a la acción de la justicia, sin que, finalmente, la demora de unos años en el inicio del cumplimiento de la pena, si es que la demanda de amparo se desestimase, fuera a causar ningún perjuicio a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escrito el día 1 de febrero de 2002 solicitando la denegación de la suspensión solicitada por el demandante. Tras recoger la doctrina de este Tribunal en relación a la suspención de las condenas privativas de libertad, mediante la cita del ATC de 24 de julio de 2001, entiende que la aplicación de dicha doctrina al supuesto sometido a nuestra consideración revela la existencia de un notable interés general en la ejecución de las resoluciones recurridas atendida la extraordinaria gravedad de los hechos (la comisión de un delito contra la salud pública por la importación, en cantidad de notoria importancia, de droga que causa grave daño a la salud, realizado mediante una organización), el bien jurídico protegido (la salud), la enorme trascendencia social de los hechos, y, finalmente, la extensa duración de la pena impuesta (doce años), cuyo cumplimiento resta íntegro.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 La admisión del amparo no conlleva, pues,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el presente caso el recurrente formula la solicitud de que se suspenda la ejecución de la Sentencia de la Sala Segunda Tribunal Supremo desestimatoria del recurso de casación interpuesto contra la dictada por la Audiencia Nacional por la que se condenaba al demandante de amparo, por delito contra la salud pública, a la pena de doce años de prisión mayor y multa de 175 millones de pesetas.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manteniendo que, cuando se trata de resoluciones judiciales, la suspensión de su ejecución entraña en sí misma una perturbación del interés general consistente en mantener su eficacia (por todos, AATC 18/1998, 47/1998, 79/1998, 182/1998 y 186/1998),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aquél que provoque un restablecimiento del recurrente en el derecho constitucional vulnerado que sea tardío e impida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privativas de libertad, y en las privativas o limitativas de ciertos derechos. Este criterio, no obstante, no es absoluto, pues la doctrina que hemos elaborado señala que la decisión final a adoptar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y 289/2001).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y 273/1998).</w:t>
      </w:r>
    </w:p>
    <w:p w:rsidRPr="00C21FFE" w:rsidR="00AD51A7" w:rsidRDefault="00AD51A7">
      <w:pPr>
        <w:rPr/>
      </w:pPr>
      <w:r w:rsidRPr="&lt;w:rPr xmlns:w=&quot;http://schemas.openxmlformats.org/wordprocessingml/2006/main&quot;&gt;&lt;w:lang w:val=&quot;es-ES_tradnl&quot; /&gt;&lt;/w:rPr&gt;">
        <w:rPr/>
        <w:t xml:space="preserve">4. Aplicada la doctrina expuesta al presente caso ha de denegarse la suspensión solicitada. Dada la larga duración de la pena privativa de libertad impuesta (doce años de prisión mayor y multa de 175 millones de pesetas) no procede suspender su ejecución.  Como ya se ha afirmado, aun cuando la regla general de este Tribunal en el caso de penas privativas de libertad debe ser la suspensión, ya que su cumplimiento conlleva en sí mismo una pérdida, al menos parcial, de la finalidad del amparo, también se ha indicado que esta regla general no está exenta de excepciones, y una de ellas es, precisamente, la duración de la pena, ya que, en el supuesto de que la pena sea de larga duración, "el interés general reclama con especial intensidad su ejecución" (ATC 214/1997). Tal conclusión se impone, no sólo por el necesario mantenimiento de la confianza en la justicia penal y en los efectos disuasorios que se derivan de la finalidad de prevención general de los delitos (AATC 310/1996, 419/1997, 265/1998), sino también porque la duración de la pena cuantifica "el desvalor del comportamiento enjuiciado y el daño social producido, según la apreciación del Tribunal sentenciador, que nosotros no podemos revisar en este trámite" (AATC 265/1998, 62/2001 y 289/2001).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ello,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doce de marzo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