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3782-2000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3782-2000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de la Sección Primera de la Audiencia Provincial de Alicante de 19 de marzo de 2000, en el rollo de apelación núm.  83/00, tan solo respecto de la pena de privación del permiso de conducir.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29 de junio de 2000, la Procuradora de los Tribunales doña María Soledad San Mateo García, en nombre y representación de don José Antonio Mas Farre, interpone recurso de amparo contra la Sentencia dictada por la SecAudiencia Provincial de Alicante el 19 de mayo de 2000, en el rollo de apelación núm. 83/00, por la que se condenó al recurrente, como autor responsable de un delito contra la seguridad del tráfico, a las penas de 100.000 pesetas de multa con arresto sustitutorio de cuatro días en caso de impago y privación del permiso de conducir o del derecho a obtenerlo por tiempo de tres meses y un 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14 de febrero de 2002, acordó, respectivamente, la admisión a trámite de la demanda de amparo y la formación de pieza separada para la tramitación del incidente sobre la suspensión solicitada, concediendo al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Procuradora Sra. San Mateo efectúa sus alegaciones, mediante escrito registrado el 27 de febrero de 2002, insistiendo, como ya lo hizo en la demanda de amparo, en que la no suspensión de la pena de privación del permiso de conducir durante tres meses y un día ocasionaría un perjuicio irreparable al recurrente, haciendo perder al amparo su finalidad, sin que existan motivos de denegación por peligro de perturbación grave de los intereses generales o libertades públicas de un tercero. No se hace referencia alguna respecto de la pena de multa y del arresto sustitutorio, en su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evacúa el trámite conferido mediante escrito registrado el 4 de marzo de 2002. En él señala que, al tratarse de una pena privativa de derechos, el interés general de la efectividad del cumplimiento de la condena impuesta exige que se proceda a denegar la suspensión solicitada, pues, además, el actor no ha alegado la concurrencia de circunstancias personales o laborales que la justifiquen.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artículo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todos, AATC 18/1998, 47/1998, 79/1998, 182/1998 y 186/1998),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y 25/2002).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ha establecido como criterio general la improcedencia de la suspensión de la ejecución de aquellos fallos judiciales que admiten la restitución íntegra de lo ejecutado (como, por lo general, sucede en las condenas de contenido patrimonial),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Dado que el recurrente nada solicita respecto a la multa impuesta y, en caso de impago, al arresto sustitutorio de cuatro días, aplicada la doctrina expuesta al presente caso, ha de accederse a la suspensión solicitada por el recurrente respecto de la pena de privación del permiso de conducir pues, analizando el supuesto de autos, puede advertirse que el delito contra la seguridad del tráfico previsto y penado en el derogado art. 340 bis a) del Código Penal, texto refundido de 1973 (en la actualidad contenido en el art.  379 del Código vigente) por el que ha sido condenado el ahora demandante de amparo, no reviste notoria gravedad y la corta duración de la pena de privación del permiso de conducir impuesta, haría perder al amparo su finalidad caso de no accederse a la suspensión interesada. Por ello procede acordar la suspensión de conformidad con la doctrina reiterada de este Tribunal (AATC 136/1996, de 27 de marzo, FJ 2 y 55/1998, de 2 de marzo, FJ 3, por todos).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de la Sección Primera de la Audiencia Provincial de Alicante de 19 de marzo de 2000, en el rollo de apelación núm.  83/00, tan solo respecto de la pena de privación del permiso de conducir.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veintidós de abril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