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Tercera de la Audiencia Provincial de Zaragoza, de 26 de diciembre de 2000, exclusivamente en lo referente a la pena privativa de libertad de seis meses de prisión y a la accesoria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 por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enero de 2001, don Luis Pastor Ferrer, Procurador de los Tribunales, y de don Ignacio Velasco Sánchez, interpuso recurso de amparo contra la Sentencia de 26 de diciembre de 2000, de la Audiencia Provincial de Zaragoza, Sección Tercera, que resuelve recurso de apelación contra la dictada por el Juzgado de lo Penal núm. 4 de Zaragoza en el procedimiento abreviado 112-2000, seguido por delito contra la propiedad intelectual.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absuelto, junto con otros dos coprocesados, del delito contra la propiedad intelectual del que era acusado por Sentencia del Juzgado de lo Penal núm. 4 de los de Zaragoza, de fecha 24 de julio de 2000. Esta Sentencia estimó que no existía suficiente prueba de cargo que acreditase quién de los acusados poseía programas informáticos ilegalmente duplicados en su domicilio.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por la acusación particular, recurso al que se adhirió el Ministerio Fiscal, y que fue estimado por la Sentencia de 26 de diciembre de 2000, de la Sección Tercera de la Audiencia Provincial de Zaragoza, que revoca la de instancia, modifica los hechos declarados probados por aquella y condena al recurrente y a los otros dos acusados, como autores de un delito contra la propiedad intelectual del art. 270.1 CP, a la pena de seis meses de prisión, inhabilitación especial para el derecho de sufragio pasivo durante el tiempo de la condena y costas, así como a indemnizar conjunta y solidariamente a las empresas perjudicadas en la cantidad de 54.550.006 pesetas más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que las resoluciones judiciales citadas han vulnerado el derecho del recurrente al secreto de las comunicaciones (art. 18.3 CE), a la inviolabilidad del domicilio (art. 18.2 CE), a la tutela judicial efectiva (art. 24.1 CE), a un proceso con todas las garantías (art. 24.2 CE), a la presunción de inocencia (art. 24.2 CE) y el principio de legalidad (art. 25.1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julio de 2002, la Sala Segunda de este Tribunal acordó la admisión a trámite de la demanda así como, a tenor de lo establecido en el artículo 51 LOTC, obrando ya en la Sala testimonio de las actuaciones correspondientes a la apelación y de parte de las actuaciones del procedimiento abreviado 112-2000, requerir atentamente al Juzgado de lo Penal núm. 4 de Zaragoza para que remitiera certificación o fotocopia adverada del resto de las actuaciones, debiendo previamente emplazar a quienes fueron parte en el procedimiento, a excepción del demandante de amparo, para que puedan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artículo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julio de 2002 se registró en este Tribunal el escrito de alegaciones del demandante de amparo, en el que se reitera la solicitud de suspensión de la ejecución, tanto de la pena privativa de libertad, como de las costas y la responsabilidad civil impuestas por la Sentencia recurrida, por entender que en todos los casos el perjuicio que podría producirse es irreparable. En relación con los pronunciamientos de contenido económico, señala que a la vista de las cuantías que se solicitan, de la edad del recurrente y de los bienes sobre los que pesa la ejecución de la responsabilidad civil, el perjuicio causado con la ejecución no podría ser reparado de otorgarse el amparo, pues de ejecutarse los bienes embargados la pérdida patrimonial no podría restituirse íntegramente. Por ello, para preservar tanto sus intereses como los derechos de los perjudicados, solicita que se mantenga el embargo del bien durante la sustanciación del procedimiento de amparo, pero que se suspenda la ejecución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julio de 2002 tuvo entrada en este Tribunal el escrito de alegaciones del Ministerio Fiscal. En dicho escrito, tras un breve relato de los antecedentes procesales, se sostiene la conveniencia de acceder a la suspensión interesada con respecto al cumplimiento de la pena privativa de libertad y de la accesoria. Entiende el Fiscal, sobre la base de la doctrina constitucional, que la ejecución de la pena privativa de libertad de seis meses de prisión podría generar perjuicios irreparables para el demandante. Sin embargo, en relación con el abono de las costas y de la responsabilidad civil, al tratarse de sanciones de contenido económico y no acreditarse en la demanda de amparo la irreparabilidad del perjuicio, entiende el Ministerio Fiscal que no procede en el momento actual la suspensión, pues sus perjuicios son perfectamente reparables en caso de concederse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(seis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163/1996, 419/1997, 48/1998, 262/1998, 106/2002). Igualmente procede la suspensión de la pena accesoria legal de inhabilitación especial para el ejercicio de derecho de sufragio pasivo durante el tiempo de la condena, pues, como señala el Ministerio Fiscal, conforme a nuestra Jurisprudencia las penas accesorias han de seguir en principio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No procede, sin embargo, la suspensión de la condena en lo que se refiere a los pronunciamientos de contenido patrimonial -costas procesales e indemnización-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ni la indemnización impuesta (54.550.006 pesetas) es de extraordinaria cuantía, ni se ha acreditado la irreparabilidad del perjuicio derivado de la ejecución por la concurrencia de circunstancias especiales. El recurrente se limita a afirmar que de ejecutarse el embargo que pesa sobre sus bienes, el perjuicio no podría repararse, porque se le restituiría su equivalente el dinero y no el bien, pero no aporta prueba alguna sobre las dificultades económicas para hacer frente al pago de la cantidad en cuestión (lo que evitaría la ejecución del embargo), ni acredita la existencia del citado embargo, ni que se haya solicitado la ejecución del mismo. Y, como reiteradamente hemos sostenido, la acreditación del perjuicio es carga del recurrente, quien debe además probar, o al menos justificar ofreciendo un principio razonable de prueba, la irreparabilidad del perjuicio (por todos, AATC 253/1995, 72/1997, 93/2002).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Tercera de la Audiencia Provincial de Zaragoza, de 26 de diciembre de 2000, exclusivamente en lo referente a la pena privativa de libertad de seis meses de prisión y a la accesoria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 por el tiempo de la condena.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