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4216-1999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4126-1999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el conflicto positivo de competencia registrado con el número 4216/99, al registrado con el número 4124/99.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de Gobierno de la Junta de Andalucía interpuso, el 6 de octubre de 1999, conflicto positivo de competencia, frente al Gobierno de la Nación, en relación, con el Real Decreto 844/99, de 21 de mayo, por el que se autoriza la explotación de una lotería instantánea o presorteada.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de la Generalidad de Cataluña interpuso, el 14 de octubre de 1999, conflicto positivo de competencia, frente al Gobierno de la Nación, en relación con el mismo Real Decreto 844/99.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referidos conflictos positivos de competencia, registrados con los números 4124/97 y 4216/97, respectivamente, fueron admitidos a trámite por providencias de 26 de octubre de 1999, el primero y de 10 de noviembre de 1999, el segundo, en las que se acordaba dar traslado de la demanda y documentos presentados al Gobierno, por conducto de su Presidente, al objeto de que, en el plazo de veinte días y bajo la representación procesal que señala el artículo 82.2 de la Ley Orgánica del Tribunal, pudiera personarse en los autos y aportar cuantos documentos y alegaciones considerase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Personado el Abogado del Estado en ambos conflictos solicitó, en los correspondientes escritos de alegaciones que, en su día, dicte el Tribunal sentencia por la que se acuerde la desestimación de las pretensiones, y en otrosí al escrito de alegaciones presentado en el conflicto registrado con el número 4216/99, se interesa la acumulación de este procedimiento al tramitado con el número 4124/99, por tener los dos por objeto la misma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Segunda de fecha 11 de diciembre de 2001, se acordó oír a las representaciones procesales del Gobierno de la Generalidad de Cataluña y el Consejo de Gobierno de la Junta de Andalucía, promoventes del presente conflicto de competencia y del registrado con el número 4124/99, para que, en el plazo de diez días, pudieran alegar lo que estimasen oportuno en relación con la solicitud de acumulación de ambos procesos, formulada por el Abogado del Estado. </w:t>
      </w:r>
    </w:p>
    <w:p w:rsidRPr="00C21FFE" w:rsidR="00AD51A7" w:rsidRDefault="00AD51A7">
      <w:pPr>
        <w:rPr/>
      </w:pPr>
      <w:r w:rsidRPr="&lt;w:rPr xmlns:w=&quot;http://schemas.openxmlformats.org/wordprocessingml/2006/main&quot;&gt;&lt;w:lang w:val=&quot;es-ES_tradnl&quot; /&gt;&lt;/w:rPr&gt;">
        <w:rPr/>
        <w:t xml:space="preserve">En los escritos recibidos de dichas representaciones se expresa la conformidad con la acumulación pedida, habida cuenta de la coincidencia de objetos existentes entre los procesos.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ha señalado este Tribunal en ocasiones anteriores, el art. 83 LOTC,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orden a su tramitación y decisión unitarias o, lo que es lo mismo y expresado con las propias palabras del legislador en el precepto citado, que la referida conexión justifique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dos conflictos positivos de competencia, interpuestos por la Junta de Andalucía y el Gobierno de la Generalidad de Cataluña, coinciden en cuanto que impugnan la misma disposición legal y en que son similares las fundamentaciones invocadas en apoyo de sus pretensiones, relativas a la presunta vulneración, por la norma objeto del conflicto, del orden competencial al desconocer la autonomía financiera que corresponde a las citadas Comunidades Autónomas.</w:t>
      </w:r>
    </w:p>
    <w:p w:rsidRPr="00C21FFE" w:rsidR="00AD51A7" w:rsidRDefault="00AD51A7">
      <w:pPr>
        <w:rPr/>
      </w:pPr>
      <w:r w:rsidRPr="&lt;w:rPr xmlns:w=&quot;http://schemas.openxmlformats.org/wordprocessingml/2006/main&quot;&gt;&lt;w:lang w:val=&quot;es-ES_tradnl&quot; /&gt;&lt;/w:rPr&gt;">
        <w:rPr/>
        <w:t xml:space="preserve">Resulta, en consecuencia, justificada la unidad de tramitación y decisión de los dos procesos.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el conflicto positivo de competencia registrado con el número 4216/99, al registrado con el número 4124/99.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