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6291-2001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6291-2001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Sección decimoséptima de la Audiencia Provincial de Madrid, 26 de octubre de 2001, exclusivamente en lo referente a la pena privativa de libertad de dos años de prisión y a las accesorias legales</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29 de noviembre de 2001, don Carlos Mairata Laviña, Procurador de los Tribunales, en nombre de don Roberto Eugenio Calle Gracey, interpuso recurso de amparo contra la Sentencia de 26 de octubre de 2001, de la Audiencia Provincial de Madrid, Sección decimoséptima, que resuelve recurso de apelación contra la dictada por el Juzgado de lo Penal núm. 17 de Madrid, en el juicio oral núm. 415/99, seguido por delito contra la Hacienda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fue absuelto del delito contra la Hacienda pública del que era acusado por Sentencia del Juzgado de lo Penal núm. 17 de los de Madrid, de fecha 17 de marzo de 2000. Esta Sentencia estimó que no existía suficiente prueba de cargo que acreditase la concurrencia de los elementos del delito, por lo que aplica la regla in dubio pro reo. </w:t>
      </w:r>
    </w:p>
    <w:p w:rsidRPr="00C21FFE" w:rsidR="00AD51A7" w:rsidRDefault="00AD51A7">
      <w:pPr>
        <w:rPr/>
      </w:pPr>
      <w:r w:rsidRPr="&lt;w:rPr xmlns:w=&quot;http://schemas.openxmlformats.org/wordprocessingml/2006/main&quot;&gt;&lt;w:lang w:val=&quot;es-ES_tradnl&quot; /&gt;&lt;/w:rPr&gt;">
        <w:rPr/>
        <w:t xml:space="preserve">b) Contra la anterior resolución se interpuso recurso de apelación por el Abogado del Estado, recurso que fue estimado por la Sentencia de 26 de octubre de 2001, de la Sección decimoséptima de la Audiencia Provincial de Madrid, que revoca la de instancia y condena al recurrente como autor de un delito continuado contra la Hacienda pública, sin circunstancias, a la pena de dos años de prisión menor, con la accesoria de inhabilitación especial para el ejercicio de cargo público y de su derecho de sufragio pasivo durante el tiempo de la condena, multa de 30 millones de pesetas, con advertencia de responsabilidad personal subsidiaria en caso de impago a razón de un día de privación de libertad por cada trescientas mil pesetas o fracción, así como al pago de las costas de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los derechos del recurrente a la tutela judicial efectiva (art. 24.1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el demandante solicita se deje en suspenso la ejecución de la sentencia,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abril de 2003, la Sección Primera de este Tribunal acordó la admisión a trámite de la demanda así como, a tenor de lo establecido en el art. 51 LOTC, requerir al Juzgado de lo Penal núm. 17 y a la Audiencia Provincial de Madrid para que remitiera testimonio de las actuaciones, interesándose al tiempo que emplazasen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14 de abril de 2003 se registró en este Tribunal el escrito de alegaciones del Abogado del Estado, que se opone a la suspensión solicitada en cuanto a la pena de multa (al no haberse acreditado la irreparabilidad del perjuicio) y a la responsabilidad personal sustitutoria (dado que su ejecución depende, por el momento, de un hecho incierto, cual es la falta de éxito de la ejecución forzosa). Por lo que respecta a la pena privativa de libertad y sus accesorias, solicita que se requiera a la parte solicitante para que manifieste si se le ha concedido la suspensión condicional prevista en el CP o si disfruta de libertad condicional, pues carecería de sentido que se superpusieran dos suspensiones de la misma pena.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día 16 de abril de 2003, presenta sus alegaciones el demandante de amparo, quien reitera la solicitud de suspensión de la ejecución, tanto de la pena privativa de libertad y sus accesorias, como de la multa impuesta, ante la escasa gravedad de los hechos enjuiciados, la ausencia de riesgo de sustracción a la acción de la justicia, la inexistencia de antecedentes penales y de víctimas desprotegidas o en peligro. Añade el recurrente que, aunque las penas impuestas de hecho permanecen en suspenso, la solicitud de suspensión tiene trascendencia, porque de ejecutarse la Sentencia se irrogaría un perjuicio de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22 de abril de 2003 tuvo entrada en este Tribunal el escrito de alegaciones del Ministerio Fiscal. En dicho escrito, tras un breve relato de los antecedentes procesales del caso y de la doctrina de este Tribunal, se sostiene la no oposición a la suspensión de la pena privativa de libertad y de sus accesorias. Entiende el Fiscal, sobre la base de la doctrina constitucional, que la ejecución de la pena privativa de libertad de dos años de prisión podría generar perjuicios irreparables para el demandante, haciendo perder al amparo su finalidad, y que las penas accesorias deben seguir la misma suerte que la principal. </w:t>
      </w:r>
    </w:p>
    <w:p w:rsidRPr="00C21FFE" w:rsidR="00AD51A7" w:rsidRDefault="00AD51A7">
      <w:pPr>
        <w:rPr/>
      </w:pPr>
      <w:r w:rsidRPr="&lt;w:rPr xmlns:w=&quot;http://schemas.openxmlformats.org/wordprocessingml/2006/main&quot;&gt;&lt;w:lang w:val=&quot;es-ES_tradnl&quot; /&gt;&lt;/w:rPr&gt;">
        <w:rPr/>
        <w:t xml:space="preserve">Por el contrario, el Fiscal se opone a la suspensión de la pena de multa y de la condena en costas, al tratarse de sanciones de contenido económico, respecto de las que es posible la restitución íntegra en su caso, y no acreditarse en la demanda de amparo la irreparabilidad del perjuicio. Igualmente se opone el Fiscal a la suspensión de la responsabilidad personal subsidiaria, por tratarse de un evento futuro que aún no se ha concretado, sin perjuicio de que, de acordarse la ejecución, pudiera solicitarse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186/1998, 99/2002),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 9/2003).</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pues si se compara la duración de la misma (dos años) con el tiempo que requiere la tramitación de un proceso como el presente, ha de concluirse que no suspender su ejecución ocasionaría un perjuicio irreparable, que dejaría totalmente en entredicho la eficacia de un eventual fallo estimatorio. Por otro lado, atendidas las demás circunstancias concurrentes en el caso (que no se trata de un delito de especial gravedad, que la pena impuesta es de corta duración, que se trata de un delincuente primario), no se aprecia que acceder a la suspensión solicitada ocasione una lesión específica y grave del interés general, más allá de aquélla que de por sí produce la no ejecución de un fallo judicial (AATC 163/1996, 419/1997, 48/1998, 262/1998, 106/2002).</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legal de inhabilitación especial para el ejercicio de cargo público y del derecho de sufragio pasivo durante el tiempo de la condena, pues, como señala el Ministerio Fiscal, conforme a nuestra Jurisprudencia las penas accesorias han de seguir la misma suerte que la principal (AATC 114/1984, 267/1995, 286/1997, 258/2000, 63/2001, 106/2002).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procede, sin embargo, la suspensión de la condena en lo que se refiere a los pronunciamientos de contenido patrimonial -multa y costas procesales- de conformidad con el criterio de este Tribunal de que, por tratarse de condenas de contenido económico, los perjuicios anejos a su ejecución son perfectamente reparables en caso de estimarse el amparo (AATC 152/1996, 371/1996, 91/1997, 181/1998, 182/1998, 273/1998, 189/2000, 193/2000, 204/2000, 106/2002). Ciertamente este Tribunal ha declarado que, excepcionalmente, también es posible acceder a la suspensión solicitada cuando se trate de condenas pecuniarias cuyo cumplimiento, por su importancia o cuantía, o por las especiales circunstancias concurrentes, pueda causar daños irreparables (por todos, AATC 321/1995, 344/1996, 65/1999, 61/2000, 115/2000, 9/2002). No obstante, en el presente caso no se ha acreditado la irreparabilidad del perjuicio derivado de la ejecución por la concurrencia de circunstancias especiales, carga que corresponde al recurrente (por todos, AATC 253/1995, 72/1997, 93/2002).</w:t>
      </w:r>
    </w:p>
    <w:p w:rsidRPr="00C21FFE" w:rsidR="00AD51A7" w:rsidRDefault="00AD51A7">
      <w:pPr>
        <w:rPr/>
      </w:pPr>
      <w:r w:rsidRPr="&lt;w:rPr xmlns:w=&quot;http://schemas.openxmlformats.org/wordprocessingml/2006/main&quot;&gt;&lt;w:lang w:val=&quot;es-ES_tradnl&quot; /&gt;&lt;/w:rPr&gt;">
        <w:rPr/>
        <w:t xml:space="preserve">Tampoco procede, en el momento actual, la suspensión de la responsabilidad personal subsidiaria para el caso de impago de la pena de multa, pues se trata de una eventualidad incierta en este momento, que depende de que la multa no llegue a ser abonada voluntariamente o por la vía de apremio. En cualquier caso, de sobrevenir esta eventualidad futura, ello podría dar lugar a la modificación de la medida cautelar que ahora se adopta, en virtud de lo establecido en el artículo 57 LOTC (AATC 107/1998, 136/1999, 227/1999, 245/1999 y 61/2000).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Sección decimoséptima de la Audiencia Provincial de Madrid, 26 de octubre de 2001, exclusivamente en lo referente a la pena privativa de libertad de dos años de prisión y a las accesorias legales</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