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6804-2002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6804-2002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dictada por la Sección séptima de la Audiencia Provincial de Barcelona el 30 de octubre de 2002, exclusivamente en lo relativo a la pena privativa de libertad de arresto de dos fines de semana.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noviembre de 2002, don Eduardo Morales Price, Procurador de los Tribunales, en nombre de don Alfonso Sanz Cid, interpuso recurso de amparo contra la Sentencia de 30 de octubre de 2002, de la Audiencia Provincial de Barcelona, Sección Séptima, que resuelve recurso de apelación contra la dictada por el Juzgado de Instrucción núm. 8 de esa ciudad, en el juicio de faltas 1219-2001, seguido por falta de malos tratos, hurto y vejaciones injustas.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inicialmente absuelto de las faltas de malos tratos, hurto y vejaciones injustas de las que era acusado por su esposa, por Sentencia del Juzgado de Instrucción núm. 8 de Barcelona, de 23 de mayo de 2002, por falta de prueba suficiente y ante las versiones contradictorias de los implicados, entendiendo que la cuestión suscitada debía ser resuelta por la jurisdicción de familia, en el procedimiento de separación matrimonial que se estaba tramitando.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apelación por la denunciante, estimado por Sentencia de la Audiencia Provincial de Barcelona, Sección Séptima, de 30 de octubre de 2002. Dicha Sentencia, sin celebración de nueva vista, modifica los hechos probados de la de instancia, considerando probado que el acusado cogió a su hijo del cuello, levantándole del suelo y causándole leves erosiones en el cuello. Tales hechos los considera probados a partir de la valoración de las declaraciones de denunciante y denunciado, de la testifical de una vecina, de la testifical de la propia víctima de 13 años padre se quitó el cinturón y le pegó, así como que le levantó del cuello dejándole marcas), reflejadas en el acta del juicio oral. Por tales hechos condena al recurrente, como autor de una falta de malos tratos de obra del art. 617.2 CP, a la pena de arresto de dos fines de semana y pago de las costas, confirmando la absolución respecto del resto de las faltas de las que era acusado.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el derecho del recurrente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se deje en suspenso la ejecución de la Sentencia, alegando que el cumplimiento de la pena privativa de libertad impuesta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mayo de 2003, la Sección Segunda de este Tribunal acordó la admisión a trámite de la demanda así como, a tenor de lo establecido en el art. 51 LOTC, requerir atentamente al Juzgado de Instrucción núm. 8 de Barcelona y a la Audiencia Provincial de Barcelona (Sección Séptima) para que remitiera testimonio de las actuaciones, interesándose al tiempo que emplazasen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5 de junio de 2003, realiza sus alegaciones el demandante de amparo, quien reitera la solicitud de suspensión de la ejecución, por tratarse de una pena privativa de libertad cuyo cumplimiento haría perder al amparo su finalidad, añadiendo que la ejecución de la condena puede afectar a la convivencia familiar, dado que la misma se ha reanudado, y que tanto su cónyuge como los dos hijos han solicitado al Juzgado que se suspenda la ejecución de la pena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5 de junio de 2003 tuvo entrada en este Tribunal el escrito de alegaciones del Ministerio Fiscal. En dicho escrito, tras un breve relato de los antecedentes procesales del caso y de la doctrina de este Tribunal, tal como se recoge en el ATC 43/2003, se sostiene que debe accederse a la suspensión de la pena privativa de libertad, por tratarse de una pena de muy corta duración (arresto de dos fines de semana) cuyo cumplimiento causaría un perjuicio irreparable, oponiéndose sin embargo a la suspensión en lo relativo al pago de las costas, ya que de estimarse el amparo sería posible la restitución íntegra.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procedente la suspensión de la ejecución de la pena privativa de libertad impuesta (arresto de dos fines de semana), atendida la escasa duración de la misma y el tiempo que requiere la sustanciación de un proceso constitucional como el presente, pues en caso de no acceder a la solicitada suspensión se podría ocasionar un perjuicio irreparable al demandante de amparo, lo que dejaría en entredicho la eficacia de un eventual fallo estimatorio. Ello no obstante, y sin desconocer el valor de ejemplaridad asociado al cumplimiento de penas impuestas, como reproche punitivo para este tipo de conductas, hemos de considerar que no concurren en este caso, a efectos de denegar la suspensión solicitada, circunstancias singulares, tales como las que se daban en el ATC 53/2003, dictado en la pieza de suspensión del recurso de amparo núm.  1926/2002, en que el demandante de amparo fue condenado a la pena privativa de libertad de tres fines de semana de arresto y a la prohibición de aproximarse a la víctima durante seis meses, oponiéndose el Ministerio Fiscal a la suspensión de esta pena de alejamiento, dada su finalidad y objeto de proteger la integridad física de la víctima de la infracción penal, circunstancia que fue determinante para que esta Sala denegase la adopción de la medida cautelar en aquel proceso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del fallo condenatorio en lo que se refiere a la imposición de las costas procesales, a cuyo abono se condena al demandante en amparo en una tercera parte de las causadas en ambas instancias del juicio de faltas; y ello de conformidad con el consolidado criterio de este Tribunal, según el cual, al tratarse de una condena de contenido exclusivamente económico o patrimonial, los perjuicios anejos a su ejecución son perfectamente reparables en el caso de una eventual estimación del recurso de amparo (AATC 152/1996, 371/1996, 91/1997, 181/1998, 182/1998, 273/1998, 189/2000, 193/2000, 204/2000, 106/2002).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dictada por la Sección séptima de la Audiencia Provincial de Barcelona el 30 de octubre de 2002, exclusivamente en lo relativo a la pena privativa de libertad de arresto de dos fines de semana.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