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4542-2002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4542-2002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22 de julio de 2002, don Joaquín Bautista Jurado interpuso recurso de amparo contra la Sentencia de la Sección Segunda de la Audiencia Provincial de Córdoba, de 26 de junio de 2002, recaída en apelación frente a la dictada por el Juzgado de lo Penal núm. 4 de Córdoba, en el procedimiento abreviado 11-2001.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fue condenado, por Sentencia del Juzgado de lo Penal núm. 4 de Córdoba, de 12 de marzo de 2002, como autor de una falta de lesiones del art. 617.1 CP, sin circunstancias, a la pena de multa de dos meses con cuota diaria de 3 euros, que hacen un total de 180 euros, con arresto sustitutorio en caso de impago, así como al pago de las costas procesales y de una indemnización de 18.629 euros. </w:t>
      </w:r>
    </w:p>
    <w:p w:rsidRPr="00C21FFE" w:rsidR="00AD51A7" w:rsidRDefault="00AD51A7">
      <w:pPr>
        <w:rPr/>
      </w:pPr>
      <w:r w:rsidRPr="&lt;w:rPr xmlns:w=&quot;http://schemas.openxmlformats.org/wordprocessingml/2006/main&quot;&gt;&lt;w:lang w:val=&quot;es-ES_tradnl&quot; /&gt;&lt;/w:rPr&gt;">
        <w:rPr/>
        <w:t xml:space="preserve">Dicha Sentencia declara probado que el acusado "golpeó a Valerio en la espalda con un bastón que llevaba, estableciéndose un forcejeo entre ambos donde Valerio cayó al suelo, debido a la fractura de la meseta tibial de su rodilla izquierda, producida por una descalcificación en sus huesos que le había provocado no sólo su avanzada edad, sino el tratamiento de radioterapia y quimioterapia al que había sido sometido por un cáncer de colon". A consecuencia de estos hechos don Valerio Jurado Torrico sufrió lesiones que necesitaron tratamiento quirúrgico posterior, tardando 156 días en curar de los cuales 129 estuvo impedido para sus ocupaciones, 13 de ellos con hospitalización. </w:t>
      </w:r>
    </w:p>
    <w:p w:rsidRPr="00C21FFE" w:rsidR="00AD51A7" w:rsidRDefault="00AD51A7">
      <w:pPr>
        <w:rPr/>
      </w:pPr>
      <w:r w:rsidRPr="&lt;w:rPr xmlns:w=&quot;http://schemas.openxmlformats.org/wordprocessingml/2006/main&quot;&gt;&lt;w:lang w:val=&quot;es-ES_tradnl&quot; /&gt;&lt;/w:rPr&gt;">
        <w:rPr/>
        <w:t xml:space="preserve">Tales hechos se valoran como constitutivos sólo de una falta de lesiones del art. 617.1 CP, por entender que ha existido una ruptura del nexo causal entre la acción del acusado y el resultado no previsto ni querido por él de las lesiones constitutivas de delito, resultado delictivo que no es imputable a su acción, sino a la edad y estado de salud de la víctima. </w:t>
      </w:r>
    </w:p>
    <w:p w:rsidRPr="00C21FFE" w:rsidR="00AD51A7" w:rsidRDefault="00AD51A7">
      <w:pPr>
        <w:rPr/>
      </w:pPr>
      <w:r w:rsidRPr="&lt;w:rPr xmlns:w=&quot;http://schemas.openxmlformats.org/wordprocessingml/2006/main&quot;&gt;&lt;w:lang w:val=&quot;es-ES_tradnl&quot; /&gt;&lt;/w:rPr&gt;">
        <w:rPr/>
        <w:t xml:space="preserve">Sin embargo, a la hora de establecer la responsabilidad civil derivada de delito, sí se tienen en cuenta tales lesiones para fijar la cuantía indemnizatoria. </w:t>
      </w:r>
    </w:p>
    <w:p w:rsidRPr="00C21FFE" w:rsidR="00AD51A7" w:rsidRDefault="00AD51A7">
      <w:pPr>
        <w:rPr/>
      </w:pPr>
      <w:r w:rsidRPr="&lt;w:rPr xmlns:w=&quot;http://schemas.openxmlformats.org/wordprocessingml/2006/main&quot;&gt;&lt;w:lang w:val=&quot;es-ES_tradnl&quot; /&gt;&lt;/w:rPr&gt;">
        <w:rPr/>
        <w:t xml:space="preserve">b) La anterior resolución fue recurrida en apelación exclusivamente por el condenado, sin que ni el Ministerio Fiscal ni la acusación particular interpusieran recurso propio ni se adhirieran a la apelación del ahora demandante de amparo. </w:t>
      </w:r>
    </w:p>
    <w:p w:rsidRPr="00C21FFE" w:rsidR="00AD51A7" w:rsidRDefault="00AD51A7">
      <w:pPr>
        <w:rPr/>
      </w:pPr>
      <w:r w:rsidRPr="&lt;w:rPr xmlns:w=&quot;http://schemas.openxmlformats.org/wordprocessingml/2006/main&quot;&gt;&lt;w:lang w:val=&quot;es-ES_tradnl&quot; /&gt;&lt;/w:rPr&gt;">
        <w:rPr/>
        <w:t xml:space="preserve">La Audiencia Provincial de Córdoba, en Sentencia de 26 de junio de 2002, estimó parcialmente el recurso de apelación interpuesto y condena al recurrente como autor de dos faltas de lesiones en concurso medial o ideal de los arts. 617.1 y 621.3 CP, sin circunstancias, a dos penas de multa de dos meses con cuota diaria de 3 euros por cada una de las faltas y al pago de la misma indemnización inicialmente establecida. Esta Sentencia en su fundamento jurídico 3 sostiene su discrepancia con el Juzgado de lo Penal en cuanto a la calificación de los hechos y a la ruptura del nexo causal, afirmando que el apelante tiene razón al afirmar que no es posible condenar por vía de responsabilidad civil no obstante la ruptura del nexo causal. Sin embargo, en el fundamento jurídico 4 sostiene que la calificación procedente es la que hizo el Ministerio Fiscal al elevar sus conclusiones a definitivas, conforme a la cual existen dos faltas, una dolosa del art. 617.1 CP (por el golpe con el bastón) y otra imprudente del art. 621.3 CP respecto de las lesiones sufridas por el agredido, que el agresor debió haber previsto, dada su avanzada edad y el delicado estado de salud "que sin duda conocía", negando por tanto la ruptura del nexo causal y manteniendo la cuantía de la indemnización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que se declare la nulidad de la resolución judicial recurrida por vulneración de los derechos del recurrente a la tutela judicial efectiva (art. 24.1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artículo 56.1 LOTC el demandante solicita la suspensión de la ejecución de la sentencia, alegando que la misma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noviembre de 2003, la Sección Primera de este Tribunal acordó la admisión a trámite de la demanda así como, a tenor de lo establecido en el art. 51 LOTC, requerir a los órganos judiciales para que en el plazo de diez días remitieran testimonio de las actuaciones y para que al propio tiempo se emplazara a quienes fueron parte en el procedimiento, a excepción del demandante de amparo, a fin de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21 de noviembre de 2003 tuvo entrada en este Tribunal el escrito de alegaciones del demandante de amparo, en el que reitera la solicitud de suspensión. El recurrente comienza manifestando que el 10 de septiembre de 2002, el Juzgado núm. 4 de Córdoba dictó una providencia en la que declaraba no haber lugar a la suspensión de la ejecución, por lo que ya se ha realizado el pago de la indemnización fijada. Pese a lo cual, entiende que procede acordar la suspensión y retrotraer las actuaciones de ejecución realizadas, cumpliéndose así la finalidad de la norma. Por lo demás, sostiene que la suspensión es procedente, aunque se trate de condenas de carácter pecuniario, por las circunstancias del caso, ya que se trata de un jubilado de 75 años y para el que la cuantía de la indemnización y la multa (que asciende a 10.000 euros, además de las costas) es muy elevada y su pago le priva de llevar una vida digna los últimos años de su vida, provocándole un daño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Ese mismo día 21 de noviembre de 2003 se registró en este Tribunal el escrito de alegaciones del Ministerio Fiscal, quien se opone a la suspensión solicitada, dado que los pronunciamientos condenatorios de la Sentencia impugnada son todos ellos de índole económica, sin que sus cuantías sean excesivas, ni se haya justificado en la demanda de amparo la irreparabilidad del perjuicio que pudiera derivarse de su abono.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todos, AATC 18/1998, 47/1998, 79/1998, 182/1998, 186/1998, 99/2002), salvo que el demandante acredite suficientemente la irreparabilidad que para sus derechos fundamentales pudiera tener la 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económico, pues ni se causa un perjuicio irreparable al obligado al pago por la Sentencia condenatoria, ni hace perder al amparo su finalidad (SSTC 275/1990, 44/2001; 106/2002). Por el contrario, si los pronunciamientos condenatorios afectan a bienes o derechos del recurrente en amparo de imposible o muy difícil restitución a su estado anterior, procede acordarla, lo cual sucede, en principio, en las condenas a penas privativas de libertad y a penas privativas o limitativas de ciertos derechos (por todos, entre los más recientes AATC 286/2000, 63/2001, 106/2002)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la no procedencia de la suspensión solicitada. El recurrente resultó condenado exclusivamente a dos penas de multa (cuyo importe total es de 360 euros) y al pago de una indemnización de 18.629 euros con el interés legal del art. 576 LEC y de las costas procesales, condenas de contenido económico cuya ejecución no ocasionaría ningún perjuicio irreparable, al ser posible su restitución íntegra caso de estimarse el amparo, sin que se haya acreditado la irreparabilidad del perjuicio derivado de la ejecución de la condena.</w:t>
      </w:r>
    </w:p>
    <w:p w:rsidRPr="00C21FFE" w:rsidR="00AD51A7" w:rsidRDefault="00AD51A7">
      <w:pPr>
        <w:rPr/>
      </w:pPr>
      <w:r w:rsidRPr="&lt;w:rPr xmlns:w=&quot;http://schemas.openxmlformats.org/wordprocessingml/2006/main&quot;&gt;&lt;w:lang w:val=&quot;es-ES_tradnl&quot; /&gt;&lt;/w:rPr&gt;">
        <w:rPr/>
        <w:t xml:space="preserve">Tampoco procede, en el momento actual, la suspensión de la responsabilidad personal subsidiaria para el caso de impago de la pena de multa, pues se trata de una eventualidad futura, que de sobrevenir (por falta de abono voluntario o en vía de apremio) podría dar lugar a la modificación de la medida cautelar que ahora se adopta en virtud de lo establecido en el art. 57 LOTC (AATC 107/1998, 136/1999, 227/1999, 245/1999, 61/2000, 41/2002).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