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5699-2002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w:t>
            </w:r>
          </w:p>
          <w:p w:rsidRPr="00D13423" w:rsidR="00AD51A7" w:rsidRDefault="00AD51A7">
            <w:pPr>
              <w:rPr/>
            </w:pPr>
            <w:r w:rsidRPr="&lt;w:rPr xmlns:w=&quot;http://schemas.openxmlformats.org/wordprocessingml/2006/main&quot;&gt;&lt;w:color w:val=&quot;800080&quot; /&gt;&lt;w:szCs w:val=&quot;24&quot; /&gt;&lt;/w:rPr&gt;">
              <w:rPr/>
              <w:t xml:space="preserve">5699-2002</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8 de octubre de 2002 el Procurador de los Tribunales don Ramón Rodríguez Nogueira, en nombre y representación de don Gustavo Gass Castañeda, interpuso recurso de amparo contra la Sentencia dictada por la Sección Novena de la Audiencia Provincial de Valencia el día 17 de septiembre de 2002 por la que, estimando el recurso de apelación interpuesto frente a la Sentencia de 14 de diciembre de 2001 del Juzgado de Primera Instancia núm. 4 de Gandía,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don Gustavo Gass Castañeda, Secretario de Administración local con habilitación de carácter nacional, en reclamación de 150.000 pesetas en concepto de cuotas colegiales no abonadas. </w:t>
      </w:r>
    </w:p>
    <w:p w:rsidRPr="00C21FFE" w:rsidR="00AD51A7" w:rsidRDefault="00AD51A7">
      <w:pPr>
        <w:rPr/>
      </w:pPr>
      <w:r w:rsidRPr="&lt;w:rPr xmlns:w=&quot;http://schemas.openxmlformats.org/wordprocessingml/2006/main&quot;&gt;&lt;w:lang w:val=&quot;es-ES_tradnl&quot; /&gt;&lt;/w:rPr&gt;">
        <w:rPr/>
        <w:t xml:space="preserve">b) El Sr. Gass Castañeda se opuso a la demanda alegando por vía de excepción la falta de legitimidad constitucional de la obligatoriedad de la pertenencia al Colegio, la cual fue apreciada en Sentencia dictada el 14 de diciembre de 2001 por el Juzgado de Primera Instancia núm. 4 de Gandía, que en consecuencia desestimó la demanda. </w:t>
      </w:r>
    </w:p>
    <w:p w:rsidRPr="00C21FFE" w:rsidR="00AD51A7" w:rsidRDefault="00AD51A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Valencia contra la referida Sentencia, el mismo fue estimado en la dictada el 17 de septiembre de 2002 por la Sección Novena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alega en su demanda de amparo que la resolución judicial combatida vulnera, en primer lugar, su derecho a la libertad de asociación, en su vertiente negativa o derecho a no asociarse, que forma parte del contenido del derecho fundamental recogido en el art. 22 CE, ya 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pública por su condición de funcionarios.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encontrar amparo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en Canarias o en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Galicia) establece que los profesionales titulados que estén vinculados a las Administraciones públicas no precisarán colegiarse para el ejercicio de tales profesiones al servicio de las Administraciones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derivarían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20 de noviembre de 2003 la Sala Segunda de este Tribunal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25 de noviembre de 2003 tuvo entrada en el registro de este Tribunal el escrito de alegaciones del demandante de amparo. En él señaló el recurrente que la ejecución de la Sentencia mediante el pago de la cantidad dineraria implica per se una vulneración de los derechos fundamentales a la libertad de asociación y a la igualdad y no discriminación cuyo amparo se solicita, y que la no suspensión obligaría al abono de las cuotas colegiales que posteriormente habrían de ser devueltas tras la cierta estimación de la demanda, ocasionándole de este modo un perjuicio irreparable. Aduce en apoyo de sus argumentaciones lo declarado por la Sentencia dictada por el Pleno de este Tribunal el 23 de abril de 2003 (STC 76/2003), así como por la Sentencia de la Sala Primera de fecha 22 de mayo de 2003, que estimaron los correspondientes recursos de amparo interpuestos en casos idénticos al presente, en las que se declaró vulnerado el derecho del recurrente en amparo a la libertad de asociación (art. 22 CE) en su vertiente negativa al reconocer la falta de obligatoriedad de la colegiación de los Secretarios, Interventores y Tesoreros de Administración local con habilitación de carácter nacional. Por lo que, dada la viabilidad de la demanda de amparo y la expectativa fundada de su estimación por la razón expuesta, suplica al Tribunal Constitucional que acuerde la suspensión de los efectos ejecutivos de la Sentencia de 17 de septiembre de 2002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28 de noviembre de 2003 presentó su escrito de alegaciones el Ministerio Fiscal. En él manifiesta que el interés particular subyacente a la solicitud de suspensión de la ejecución de la Sentencia impugnada en amparo reside en el intento de aplazar el cumplimiento de la obligación de entrega de una cantidad de dinero, mientras que es doctrina de este Tribunal que no procede la suspensión de las que admiten la restitución íntegra de lo ejecutado como sucede con los pronunciamientos de efectos exclusivamente patrimoniales. En consecuencia el Fiscal interesa que se deniegue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un lado, de los intereses generales y de los derechos fundamentales de terceros, cuya perturbación grave o lesión actúa como límite de la adopción de la medida cautelar, y, de otro lado, del interés particular del demandante de amparo, que alega a su vez la lesión de un derecho fundamental. En tal aspecto es el potencial perjudicado quien ha de justificar el riesgo o peligro de perjuicio, pues, aunque la viabilidad de la demanda sirva para apreciar una inicial apariencia de buen derecho de las pretensiones en ella contenidas, también se requiere la justificación de un riesgo o peligro de que, de no acordarse la suspensión de la ejecución de la resolución impugnada en amparo, se ocasionaría al demandante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sentido hemos entendido que sólo hay peligro o riesgo de perjuicio irreparable cuando la ejecución prevista del acto recurrido pueda provocar que el posterior y eventual restablecimiento del recurrente en el derecho constitucional vulnerado, en el supuesto de que el amparo sea otorgado, resulte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conllevaría el derecho del demandante de amparo a que no le sean cobradas las cuotas que reclama el Colegio de Secretarios, Interventores y Tesoreros de Administración local con habilitación nacional de la Provincia de Valencia. Lo que se pretende con la suspensión de la ejecución de la Sentencia que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indica la doctrina constitucional (ver AATC 159/2002; 169/2002; 227/2002 y 248/2003, que resuelven peticiones de suspensión coincidentes con la presente), sacrificando 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