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1º Conceder la suspensión solicitada en lo que a la pena privativa de libertad se refiere 2º Denegar la suspensión en lo tocante al resto de los pronunciamientos contenidos en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26 de febrero de 2003, el Procurador de los Tribunales don Antonio Ramón Rueda López, en nombre y representación de don Angel Gil González, interpuso recurso de amparo contra la Sentencia de la Sección Sexta de la Audiencia Provincial de Madrid de 28 de enero de 2003, por la que se revocaba en apelación la Sentencia absolutoria dictada por el Juzgado de Instrucción núm.2 de Collado-Villalba, con fecha de 15 de julio de 2002, en el procedimiento seguido contra el recurrente por sendas faltas de coacciones y amenazas.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Con fecha de 15 de julio de 2002, el Juzgado de Instrucción núm.2 de Collado-Villalba (Madrid) dictó una Sentencia en la que absolvió al demandante de amparo de las faltas de amenazas y de coacciones que le habían sido imputadas a raíz de la denuncia presentada por su ex esposa. Dicha absolución obedeció a que “a la vista de las pruebas practicadas en el acto del juicio, no ha quedado probado que...procediese a coaccionar ni amenazar...en los términos denunciados” (apartado segundo del relato de hechos probados), ya que “las declaraciones vertidas por las partes en el acto del juicio oral no han permitido esclarecer cómo se produjeron los hechos denunciados y, por consiguiente, la veracidad de los mismos”. </w:t>
      </w:r>
    </w:p>
    <w:p w:rsidRPr="00C21FFE" w:rsidR="00AD51A7" w:rsidRDefault="00AD51A7">
      <w:pPr>
        <w:rPr/>
      </w:pPr>
      <w:r w:rsidRPr="&lt;w:rPr xmlns:w=&quot;http://schemas.openxmlformats.org/wordprocessingml/2006/main&quot;&gt;&lt;w:lang w:val=&quot;es-ES_tradnl&quot; /&gt;&lt;/w:rPr&gt;">
        <w:rPr/>
        <w:t xml:space="preserve">b) Presentado por la denunciante recurso de apelación contra la anterior resolución (que fue impugnado por el demandante y por el Ministerio Fiscal), fue estimado por Sentencia de la Sección Sexta de la Audiencia Provincial de Madrid de 28 de enero de 2003, notificada a la representación del recurrente el 3 de febrero de ese mismo año, condenándose en consecuencia al Sr. Gil González, como autor responsable de una falta de coacciones, a la pena de arresto durante dos fines de semana y prohibición de aproximarse a la denunciante y a su domicilio durante cuatro meses, así como al pago de las costas procesales. En dicha resolución, pronunciada sin previa celebración de vista, se modificaban los hechos declarados probados en instancia al considerar el Juez ad quem, de acuerdo con las alegaciones vertidas en el recurso ante él presentado, que se había producido en el juicio de faltas prueba suficiente de los hechos denunciados, constituida “por las declaraciones de la denunciante y de los testigos vecinos de ésta”.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en sede de apelación ha vulnerado los derechos del solicitante de amparo a no padecer indefensión y a la defensa, respectivamente reconocidos en los apartados 1 y 2 del art. 24 CE. </w:t>
      </w:r>
    </w:p>
    <w:p w:rsidRPr="00C21FFE" w:rsidR="00AD51A7" w:rsidRDefault="00AD51A7">
      <w:pPr>
        <w:rPr/>
      </w:pPr>
      <w:r w:rsidRPr="&lt;w:rPr xmlns:w=&quot;http://schemas.openxmlformats.org/wordprocessingml/2006/main&quot;&gt;&lt;w:lang w:val=&quot;es-ES_tradnl&quot; /&gt;&lt;/w:rPr&gt;">
        <w:rPr/>
        <w:t xml:space="preserve">Dichas pretendidas vulneraciones de derechos fundamentales se entienden producidas por la distinta valoración de la prueba realizada por el Tribunal unipersonal ad quem, sin celebración de vista oral del recurso de apelación, que le llevó a modificar los hechos declarados probados por el juzgador de instancia, introduciendo en el nuevo relato de los mismos elementos que en modo alguno habrían quedado probados en el juicio oral –tales como que el demandante de amparo permanecía horas estacionado en la puerta del domicilio de su ex esposa, o que tal hecho habría provocado en ésta una crisis de ansiedad- e, incluso, dando por cierto que tal conducta habría comenzado inmediatamente después de hacer concluido el periodo de alejamiento de ella que le había sido impuesto por Sentencia de la Sección Cuarta de la Audiencia Provincial de Madrid, cuando lo cierto es que dicha orden de alejamiento habría finalizado meses antes de las fechas en las que la denunciante afirmó haber sido coaccionada y amenazada por el actor, según queda acreditado en la Sentencia de dicha Sala de 15 de enero de 2002 que acompaña a la demanda de amparo. Todo ello sin que el órgano judicial de apelación tuviera inmediación respecto de las pruebas practicadas en el acto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fecha 13 de mayo de 2004,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28 de mayo de 2004 en el que, de conformidad con la reiterada doctrina dictada al respecto por este Tribunal, consideraba procedente la suspensión exclusivamente de la ejecución de la pena privativa de libertad impuesta al demandante de amparo, en atención a su corta duración, no debiendo alcanzar tal efecto a la condena en costas dado que, al ser de contenido económico, su no suspensión no ocasionaría perjuicios de imposible reparación. Tampoco estimaba pertinente el Ministerio Fiscal la suspensión de la prohibición de aproximación a la víctima y a su domicilio pues, pese a ser asimismo de corta duración, de la misma no se derivarían perjuicios irreparables para el recurrente siendo en cambio una medida orientada a la protección de la víctima.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a acordar la suspensión interesada en lo relativo a la pena privativa de libertad dado que, de no suspenderse, podría ocasionársele un perjuicio irreparable toda vez que, como ya hemos declarado en anteriores ocasiones (por todas: AATC 269/1998, de 26 de noviembre y 84/2002, de 20 de mayo), estando comprendida la duración de la condena a pena de prisión dentro de la duración de la tramitación del presente recurso, dicha pena privativa de libertad estaría a punto de cumplirse –o se habría cumplido ya en su totalidad- en dicho momento, lo que hace que, conforme también declarábamos en las ocasiones anteriormente mencionadas, los intereses generales asociados a la ejecución de toda Sentencia penal en lo que a privación de libertad se refiere se encuentren, en este caso, muy debilitados. No procede, en cambio, suspender la ejecución de la condena en costas toda vez que, al tratarse de un pronunciamiento de naturaleza económica, resulta reversible; ni tampoco la suspensión de la prohibición de acercamiento a la víctima y a su domicilio ya que tal medida no ocasiona perjuicio irreparable alguno al demandante de amparo, debiendo en consecuencia primar el interés general en su cumplimiento.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1º Conceder la suspensión solicitada en lo que a la pena privativa de libertad se refiere 2º Denegar la suspensión en lo tocante al resto de los pronunciamientos contenidos en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