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Conceder la suspensión solicitada en lo que se refiere a la pena privativa de libertad de dos años de prisión y a su accesoria legal de inhabilitación del derecho de sufragio pasivo.  2º Denegar la suspensión respecto de la pena de alejamiento y de</w:t>
            </w:r>
          </w:p>
          <w:p w:rsidRPr="00D13423" w:rsidR="00AD51A7" w:rsidRDefault="00AD51A7">
            <w:pPr>
              <w:rPr/>
            </w:pPr>
            <w:r w:rsidRPr="&lt;w:rPr xmlns:w=&quot;http://schemas.openxmlformats.org/wordprocessingml/2006/main&quot;&gt;&lt;w:color w:val=&quot;800080&quot; /&gt;&lt;w:szCs w:val=&quot;24&quot; /&gt;&lt;/w:rPr&gt;">
              <w:rPr/>
              <w:t xml:space="preserve">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febrero de 2003 tuvo entrada en el Registro del Tribunal escrito presentado por don Josep Gómez Egea que actuaba representado por el Procurador de los Tribunales don Tomás Alonso Ballesteros, por el que interponía recurso de amparo contra la Sentencia dictada por la Audiencia Provincial de Girona en el rollo de apelación 831-2002, en la que se condenó a don Josep Gómez Egea como autor de un delito de violencia psíquica habitual del artículo 157 del Código penal en concurso con un delito de amenazas del artículo 169.2 del mismo Código a la pena de dos años de prisión, con responsabilidad civil, a satisfacer a la denunciante, por importe de 6000 euros, además de la prohibición de que se aproxime y comunique por cualquier medio con Anna María Masó Arté y las dos hijas de ésta durante tres años, Sentencia en la que se revocaba la Sentencia absolutoria del Juzgado de lo Penal 3 de Girona en la causa penal 289-2001. Asimismo, mediante Otrosí, solicitaba la suspensión cautelar de la ejecución de la Sentencia, por entender que en caso contrario podría perder su finalidad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medio de providencia dictada el día 18 de noviembre de 2003 acordó la Sala Segunda de este Tribunal, de conformidad con el núm. 3 del art. 50 LOTC, conceder al demandante de amparo y al Ministerio Fiscal el plazo común de diez días para formular, con las aportaciones documentales que procediesen, las alegaciones que estimaran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Sr. Alonso Ballesteros, actuando en nombre y representación de don Josep Gómez Egea, evacuó el traslado concedido mediante escrito que tuvo entrada en este Tribunal el día 5 de diciembre de 2003, en el que, nuevamente, volvió a exponer los motivos invocados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el Ministerio Fiscal presentó escrito el día 10 de diciembre de 2003, en que, tras sintetizar la demanda de amparo y lo ocurrido en el proceso, analizó las vulneraciones aducidas, entendiendo que procedía dictar Auto acordando la inadmisión de la demanda de amparo por carecer la misma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veinticinco de noviembre de 2004 la Sección Segunda del Tribunal Constitucional acordó la admisión a trámite de la demanda de amparo reseñada y requerir a la Sección Tercera de la Audiencia Provincial de Girona para que remitiera certificación o fotocopia adverada de las actuaciones correspondientes al rollo de apelación núm. 831-2002, así como también al Juzgado de lo Penal núm. 3 de Girona para que remitiera certificación o fotocopia adverada del procedimiento abreviado 289/2001, y también a éste último para que emplazara a quienes fueron parte en el procedimiento, con excepción del recurrente de amparo, para que en el plazo de diez días pudieran comparecer en el proceso constitucional, así como formar pieza separada de suspensión, y, de conformidad con lo prevenido en el art. 56 LOTC, conceder un plazo común de tres días al Ministerio Fiscal y al solicitante de amparo, para que dentro del mismo alegasen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 de diciembre de 2004 se presentó escrito de alegaciones por el Ministerio Fiscal. En él señalaba que debía accederse a la suspensión solicitada de la Sentencia de la Audiencia Provincial en cuanto a la pena de prisión, en atención a su duración, al ser presumible que, al tiempo de resolverse la pretensión de amparo, la misma estaría cumplida. Pero, a su juicio, carece de objeto la suspensión de la Sentencia en lo que respecta a la condena dineraria consistente en el pago de la indemnización y las costas procesales, porque, al ser de naturaleza económica, son susceptibles de reparación en el caso de que se otorgase el amparo solicitado, además de que el importe de la indemnización no puede considerarse de cuantía elevada.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7 de diciembre tuvo entrada en Registro de este Tribunal el escrito de alegaciones del demandante de amparo. En el mismo se argumenta que, en caso de no acordarse la suspensión, se podría causar un perjuicio irreparable. Añadía que el Juzgado de lo Penal núm. 3 de Girona había dictado Auto el día 17 de marzo de 2004 en el que había acordado conceder al recurrente en amparo el beneficio de la suspensión de la ejecución de la pena de dos años de prisión siempre que durante el mismo periodo no delinquiese.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e los derechos fundamentales o libertades públicas de un tercero.” Habiéndose interpretado por este Tribunal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como regla general, la admisión de un recurso de amparo no suspende la ejecución de los actos recurridos, dada la presunción de legitimidad que alcanza a todas las actuaciones de los poderes públicos, si bien, dado el carácter cautelar asegurativa de la suspensión debe ponderarse la concurrencia de los requisitos establecidos para su adopción atendiendo en primer lugar a determinar su presupuesto: esto es, que en caso de no adoptarse, se ocasionará al actor un perjuicio que hará perder al amparo su finalidad, debiendo ponderarse los intereses generales y los derechos fundamentales de terceros, cuya perturbación grave o lesión actúa como límite de la adopción de la medida cautelar, y del interés particular del demandante de amparo que alega a su vez la lesión de un derecho fundamental, siendo el potencial perjudicado quien ha de justificar el eventual perjuicio. Asimismo debe añadirse que el Tribunal al pronunciarse no puede prejuzgar la cuestión principal del proceso de amparo, aun cuando a veces es imposible resolver sin tenerla a la vista.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Expuesta esta doctrina general hemos de examinar las circunstancias particulares del presente caso, en que se solicita por el demandante de amparo la suspensión respecto de los pronunciamientos condenatorios de la Sentencia recurrida, que son: de dos años de prisión, que indemnice a doña Anna María Masó Arte en seis mil euros, mas los intereses legales y al pago de las costas, así como la prohibición de que se aproxime y comunique por cualquier medio con doña Anna Masó Arte y las dos hijas de ésta durante tres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 la pena de prisión de dos años, resulta de plena aplicación al supuesto examinado la doctrina general y reiterada de este Tribunal de que la ejecución de las penas privativas de libertad puede ocasionar al recurrente perjuicios irreparables que harían perder al amparo su finalidad, porque la pérdida de la libertad es irreparable y no puede restituirse (AATC 98/1983, 179/1984, 574/1985, 301/1995, 321/1995, 152/1996, 163/1996 y otros muchos). En su virtud procede estimar la pretensión de suspensión de la Sentencia en cuanto al cumplimiento de la citada pena privativa de libertad impuesta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pena de alejamiento y de no tener comunicación por medio alguno con doña Anna María Masó Arté, debe matizarse el criterio antes expuesto de irreparabilidad del perjuicio derivado de la pérdida o restricción de libertad, no sólo porque en este caso no tiene el mismo alcance que la pena de prisión, sino también atendiendo al bien jurídico protegido de evitar la posible desprotección de las víctimas, circunstancias que han sido tomadas en cuenta por este Tribunal para atemperar aquél criterio. También hemos dicho en el Auto ATC 53/2003 de 10 de febrero: “la imposición en la Sentencia de la pena de alejamiento de la víctima tiene por objeto proteger la integridad física de aquélla —que constituye, asimismo, un derecho fundamental— frente a eventuales nuevos ataques, y que la restricción de la libertad deambulatoria del actor a dicha pena es mínima.”(sic). Por tanto no procede la estimación de la suspensión de la pena de alejamiento.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respecto de la suspensión de las medidas pecuniarias, tanto la derivada de la responsabilidad civil como la relativa a las costas procesales, este Tribunal viene manteniendo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 (AATC 573/1985, 574/1985, 275/1990, 287/1997, 185/1998, 106/2002 y 119/2003, entre otros muchos). Dado el carácter exclusivamente económico de estos pronunciamientos el conflicto hay que resolverlo, como enseña la doctrina constitucional (ver AATC 239/1990, 6/1996, 61/1997, 89/1997, 109/1997 y 13/1999), sacrificando el interés del recurrente, porque éste es perfectamente reparable en el caso de que se concediese el amparo que solicita, lo que hace que en estos aspectos del presente supuesto la causa que, conforme al art. 56.1 LOTC, justifica que pueda acordarse la suspensión de la ejecución de la resolución recurrida, esto es, que la misma hubiere de ocasionar un perjuicio que haría perder al amparo su finalidad, no tenga virtualidad ninguna. Por lo que no procede la suspensión de éstas condenas.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Conceder la suspensión solicitada en lo que se refiere a la pena privativa de libertad de dos años de prisión y a su accesoria legal de inhabilitación del derecho de sufragio pasivo.  2º Denegar la suspensión respecto de la pena de alejamiento y de</w:t>
      </w:r>
    </w:p>
    <w:p w:rsidRPr="" w:rsidR="00AD51A7" w:rsidRDefault="00AD51A7">
      <w:pPr>
        <w:rPr/>
      </w:pPr>
      <w:r w:rsidRPr="&lt;w:rPr xmlns:w=&quot;http://schemas.openxmlformats.org/wordprocessingml/2006/main&quot;&gt;&lt;w:szCs w:val=&quot;24&quot; /&gt;&lt;/w:rPr&gt;">
        <w:rPr/>
        <w:t xml:space="preserve">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