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pena privativa de libertad y a la pena accesoria de inhabilitación especial para el ejercicio del derecho de sufragio pasivo se refiere, así como respecto del arresto sustitutorio establecido para el</w:t>
            </w:r>
          </w:p>
          <w:p w:rsidRPr="00D13423" w:rsidR="00AD51A7" w:rsidRDefault="00AD51A7">
            <w:pPr>
              <w:rPr/>
            </w:pPr>
            <w:r w:rsidRPr="&lt;w:rPr xmlns:w=&quot;http://schemas.openxmlformats.org/wordprocessingml/2006/main&quot;&gt;&lt;w:color w:val=&quot;800080&quot; /&gt;&lt;w:szCs w:val=&quot;24&quot; /&gt;&lt;/w:rPr&gt;">
              <w:rPr/>
              <w:t xml:space="preserve">caso de impago de la pena de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lo relativo al resto de los pronunciamientos contenidos en las Sentencias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28 de noviembre de 2003, el Procurador de los Tribunales don Pedro Antonio González Sánchez, en nombre y representación de don Luis Miguel Contreras Arjona, interpuso recurso de amparo contra la Sentencia de la Sección Séptima de la Audiencia Provincial de Cádiz de 4 de noviembre de 2003, confirmatoria en apelación de la Sentencia condenatoria dictada por el Juzgado de lo Penal núm.1 de Algeciras, con fecha de 25 de junio de 2003, en el procedimiento seguido contra el demandante de amparo por delito contra la salud pública.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25 de junio de 2003, el Juzgado de lo Penal núm.1 de Algeciras dictó una Sentencia en la que condenaba al demandante de amparo, como autor responsable de un delito contra la salud pública en la modalidad de tráfico de sustancias que no causan grave daño a la salud en cantidad de notoria importancia, a las penas de tres años y un mes de prisión, con la accesoria de inhabilitación especial para el derecho de sufragio pasivo durante el tiempo de la condena, y multa por importe de 10.000 euros, con responsabilidad personal subsidiaria de diez días de privación de libertad en caso de impago, así como al pago de la tercera parte de las costas procesales.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Sección Séptima de la Audiencia Provincial de Cádiz de 4 de noviembre de 2003. </w:t>
      </w:r>
    </w:p>
    <w:p w:rsidRPr="00C21FFE" w:rsidR="00AD51A7" w:rsidRDefault="00AD51A7">
      <w:pPr>
        <w:rPr/>
      </w:pPr>
      <w:r w:rsidRPr="&lt;w:rPr xmlns:w=&quot;http://schemas.openxmlformats.org/wordprocessingml/2006/main&quot;&gt;&lt;w:lang w:val=&quot;es-ES_tradnl&quot; /&gt;&lt;/w:rPr&gt;">
        <w:rPr/>
        <w:t xml:space="preserve">Se aduce en la demanda que las resoluciones recurridas han vulnerado los derechos del solicitante de amparo a la tutela judicial efectiva sin indefensión, a un proceso con todas las garantías y a la presunción de inocencia, respectivamente reconocidos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las dos primeras de dichas pretendidas vulneraciones de derechos fundamentales, se argumenta que las dos Sentencias sucesivamente dictadas en instancia y en apelación omiten toda referencia a los intereses espurios a que habrían obedecido las declaraciones incriminatorias prestadas por una coimputada, así como que dicha incriminación no habría sido efectuada en sus primeras declaraciones ante la Guardia Civil y el Juez Instructor sino posteriormente, una vez debidamente asesorada e instruida acerca de las posibles ventajas que de las mismas podría extraer. De otra parte, la declaración prestada en dicho sentido incriminatorio en el acto del juicio oral habría carecido de la contundencia que se le atribuye en ambas resoluciones judiciales, ya que, a preguntas del Letrado de la defensa, la coimputada declarante afirmó que el demandante de amparo le entregó una determinada cantidad en euros como pago de la droga, siendo así que, en el momento de los hechos, tal moneda aún no estaba en circulación en España, sin que la edad de la declarante (76 años) y el tiempo transcurrido hasta el enjuiciamiento de los mismos, extremos ambos esgrimidos por el órgano judicial de apelación para justificar el otorgamiento de credibilidad a esa declaración no obstante la incongruencia acaba de apuntar, sean, a juicio del recurrente, explicación suficiente pues si ello le hizo confundirse respecto de un aspecto tan importante de su declaración también debería haberse concluido que el resto de la misma había sido fruto de esa misma confusión. </w:t>
      </w:r>
    </w:p>
    <w:p w:rsidRPr="00C21FFE" w:rsidR="00AD51A7" w:rsidRDefault="00AD51A7">
      <w:pPr>
        <w:rPr/>
      </w:pPr>
      <w:r w:rsidRPr="&lt;w:rPr xmlns:w=&quot;http://schemas.openxmlformats.org/wordprocessingml/2006/main&quot;&gt;&lt;w:lang w:val=&quot;es-ES_tradnl&quot; /&gt;&lt;/w:rPr&gt;">
        <w:rPr/>
        <w:t xml:space="preserve">La lesión del derecho del actor a la presunción de inocencia se estima producida por haber sido condenado sin que hubiera en el proceso prueba de cargo suficiente para ello ya que, siendo la única prueba utilizable la constituida por la mencionada declaración incriminatoria prestada por esa otra coprocesada —quien, habiendo sido detenida por agentes de la Guardia Civil en un ferry procedente de Ceuta portando una faja en la que ocultaba 58 envoltorios en los que se contenía resina de hachís, declaró que la sustancia en cuestión le había sido entregada por otra persona también procesada para que a su vez se la entregara al demandante de amparo—, dicha declaración carecería de validez probatoria al no venir mínimamente corroborada por dato objetivo alguno y haber sido prestada con la evidente finalidad de obtener beneficios procesales y de reducción de la condena, lo que efectivamente consiguió. El hecho de que la declarante conociera el teléfono y el domicilio del recurrente en modo alguno podría ser considerado suficiente a efectos de esa corroboración mínima, tal y como parece desprenderse de las Sentencias impugnadas, por cuanto tales datos resultarían en sí mismos irrelevantes habida cuenta de que la coimputada y la madre del actor eran amigas; tampoco podría considerarse suficiente a efectos de corroboración mínima el dato, aportado por la propia declarante, de que contra el recurrente se seguían otras actuaciones judiciales por delito contra la salud pública distintas de las que están en el origen de este procedimiento, pues no sólo con ello se estaría prejuzgando el resultado de las mismas sino que, además, en dichas actuaciones únicamente consta que el Sr. Contreras Arjona fue detenido por motivo de su supuesta participación en otro delito distinto y que, a raíz de ello, prestó declaración ante la policía y el Juez de Instrucción, sin que en la fecha de presentación del presente recurso de amparo se hubiera decretado aún la apertura del correspondiente procedimiento abreviado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abril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27 de abril de 2005 en el que, de conformidad con la reiterada doctrina dictada al respecto por este Tribunal, consideraba procedente la suspensión, exclusivamente, de la ejecución de la pena privativa de libertad impuesta al demandante de amparo, así como de la pena accesoria de inhabilitación especial para el ejercicio del derecho de sufragio durante el tiempo de la condena, no debiendo alcanzar tal efecto al resto de los pronunciamientos contenidos en la sentencia dado que, al ser de contenido económico, su no suspensión no ocasionaría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21 de abril de 2005, en el que reiteraba las alegaciones ya formuladas en la demanda de amparo en relación con el perjuicio irreparable que, de no suspenderse la ejecución de las Sentencias recurridas, se le ocasionaría al ser presumible que hubiera cumplido ya en buena parte la pena de tres años de privación de libertad con anterioridad a la resolución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denegar la suspensión de la ejecución de la pena de multa y de las costas procesales impuestas al recurrente, por ser ambos pronunciamientos de naturaleza económica y, en consecuencia, no irreversible. Por el contrario, procede acordar la suspensión interesada en lo relativo a su condena a pena privativa de libertad por tiempo de tres años y un mes dado que, de no suspenderse la ejecución de dicha pena, podría ocasionársele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pena privativa de libertad conlleva asimismo la de la pena accesoria de suspensión del derecho de sufragio durante el tiempo de la condena, por seguir dicha pena la suerte de la principal a la que acompaña y no apreciarse que la suspensión de su ejecución pueda afectar a los derechos de terceros (AATC 131/2001, de 22 de mayo y 151/2001, de 18 de junio, entre otros muchos). Procede asimismo acordar la suspensión del arresto sustitutorio establecido para el caso de impago de la multa ya que, si bien se trata de una eventualidad futura, razones de economía procesal nos han llevado en ocasiones precedentes a acordar su suspensión junto con la de la condena a pena privativa de libertad (AATC 159/2001, de 18 de junio,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pena privativa de libertad y a la pena accesoria de inhabilitación especial para el ejercicio del derecho de sufragio pasivo se refiere, así como respecto del arresto sustitutorio establecido para el</w:t>
      </w:r>
    </w:p>
    <w:p w:rsidRPr="" w:rsidR="00AD51A7" w:rsidRDefault="00AD51A7">
      <w:pPr>
        <w:rPr/>
      </w:pPr>
      <w:r w:rsidRPr="&lt;w:rPr xmlns:w=&quot;http://schemas.openxmlformats.org/wordprocessingml/2006/main&quot;&gt;&lt;w:szCs w:val=&quot;24&quot; /&gt;&lt;/w:rPr&gt;">
        <w:rPr/>
        <w:t xml:space="preserve">caso de impago de la pena de multa.</w:t>
      </w:r>
    </w:p>
    <w:p w:rsidRPr="" w:rsidR="00AD51A7" w:rsidRDefault="00AD51A7">
      <w:pPr>
        <w:rPr/>
      </w:pPr>
      <w:r w:rsidRPr="&lt;w:rPr xmlns:w=&quot;http://schemas.openxmlformats.org/wordprocessingml/2006/main&quot;&gt;&lt;w:szCs w:val=&quot;24&quot; /&gt;&lt;/w:rPr&gt;">
        <w:rPr/>
        <w:t xml:space="preserve">2º. Denegar la suspensión en lo relativo al resto de los pronunciamientos contenidos en las Sentencias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