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5910-2004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5910-2004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las resoluciones recurridas en 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septiembre de 2004 el Procurador de los Tribunales don Ignacio Argos Linares interpuso, en nombre de don Miguel Angel López Lamas, recurso de amparo contra la Sentencia de la Sección Décima de la Audiencia Provincial de Barcelona, de fecha 28 de julio de 2004, dictada en el rollo de apelación núm 634-2004, que desestimó el recurso de apelación interpuesto contra la Sentencia del Juzgado de lo Penal núm. 4 de los de Barcelona, de fecha 1 de julio de 2003, en el procedimiento abreviado núm 171-2004, que condenó al solicitante de amparo a las siguientes penas: prisión de un año y nueve meses, con inhabilitación para el ejercicio del derecho de sufragio pasivo durante el tiempo de la condena y privación del derecho a la tenencia y porte de armas durante tres años por la comisión de un delito de maltrato habitual del art. 173.2 CP; prisión de siete meses, con inhabilitación para el ejercicio del derecho de sufragio pasivo durante el tiempo de la condena y privación del derecho a la tenencia y porte de armas durante dos años y prohibición de comunicación por cualquier medio y de acercamiento en un radio inferior a doscientos metros a la víctima del delito, a su madre y hermanos así como a su domicilio y respectivos lugares de trabajo durante cuatro años, por la comisión de un delito de lesiones por maltrato no habitual del art. 153 CP; seis penas de multa de 10 días con cuota de 6 euros por la comisión de seis faltas de amenazas; y multa de 10 días con cuota diaria de 6 euros por falta de trato vejatorio.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Interpuesto recurso de apelación por ambas partes, la Sección Décima de la Audiencia Provincial de Barcelona lo resolvió en Sentencia de fecha 28 de julio de 2004, en la que desestimó el interpuesto por el demandante de amparo, y estimó parcialmente el formalizado por la acusación particular. La Sala mantuvo la condena y penas correspondientes a los delitos de maltrato habitual del art. 173.2 CP y de lesiones por maltrato no habitual del art. 153 CP y, revocando las condenas por las faltas de amenazas y de vejaciones, condenó al demandante de amparo a tres penas de un año y tres meses de prisión, como autor de sendos delitos de amenazas del art. 169.2 CP, a tres multas de diez días con cuota diaria de seis euros cada una de éllas, por tres faltas de amenazas del art. 620.2 CP y a la misma pena por una falta de vejaciones del art. 620.2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la violación del derecho a la presunción de inocencia (art. 24.2 CE), a la tutela judicial efectiva (art. 24.1 CE) y a un proceso con todas las garantías (art. 24.2 CE). En la demanda de amparo se solicita también, mediante otrosí, la suspensión de la ejecución de la Sentencia recurrida en cuanto a las penas privativas de libertad impuestas.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20 de diciembre de 2005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28 de diciembre de 2005 el Ministerio Fiscal manifestó su no oposición a la suspensión solicitada de las penas privativas de libertad y de sus accesorias, alegando que es presumible que, al tiempo de resolverse el recurso, la pena de prisión haya sido cumplida en su totalidad, por lo que, de otorgarse el amparo, el mismo perdería su eficacia.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recurrente en amparo formuló sus alegaciones en escrito que tuvo entrada en este Tribunal el día 2 de enero de 2006, reiterando su petición de suspensión por las siguientes razones: en primer lugar, porque de no suspenderse la ejecución de la Sentencia controvertida se ocasionaría al solicitante de amparo un perjuicio irreparable, al ser previsible que las penas impuestas en aquella resolución estén a punto de cumplirse o ya cumplidas en su totalidad dentro del plazo estimado para la sustanciación del presente recurso, con lo cual se dejaría totalmente en entredicho la eficacia de un eventual fallo estimatorio; en segundo lugar, porque no hay indicios de que exista un riesgo de sustracción a la acción de la Justicia por parte del demandante, pues consta que tiene domicilio fijo y se cumplen las circunstancias personales suficiente para considerar improbable el riesgo antedicho; y, en tercer lugar, porque no es posible alegar una eventual desprotección de las víctimas, en cuanto la suspensión de la pena y la puesta en libertad quedaría limitada en el marco de las prohibiciones de acercamiento a víctima y familiares, que protegen suficientemente los derechos e intereses de los terceros afectados.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En cambio,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estos supuestos deben también ponderarse otras circunstancias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duración y gravedad de la pena impuesta porque, con ciertos matices que no hacen ahora al caso, en ella se expresa la reprobación que el ordenamiento asigna al hecho delictivo y, por consiguiente, la magnitud del interés general en su ejecución (AATC 136/1999, de 31 de mayo, FJ 1, 116/2000, de 5 de mayo, FJ 3, 230/2001, de 24 de julio, FJ 1, 273/2002, de 18 de diciembre, FJ 1, 322/2003, de 13 de octubre, FJ 2, entre otros muchos).</w:t>
      </w:r>
    </w:p>
    <w:p w:rsidRPr="00C21FFE" w:rsidR="00AD51A7" w:rsidRDefault="00AD51A7">
      <w:pPr>
        <w:rPr/>
      </w:pPr>
      <w:r w:rsidRPr="&lt;w:rPr xmlns:w=&quot;http://schemas.openxmlformats.org/wordprocessingml/2006/main&quot;&gt;&lt;w:lang w:val=&quot;es-ES_tradnl&quot; /&gt;&lt;/w:rPr&gt;">
        <w:rPr/>
        <w:t xml:space="preserve">De lo anteriormente expuesto,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los criterios expuestos al presente caso ha de conducir a denegar, en atención a las especiales circunstancias concurrentes en el mismo y a la naturaleza de los hechos, la petición de la suspensión en relación con las penas privativas de libertad impuestas, ya que la suma total de las penas impuestas —seis años y un mes— es indicativa de la gravedad de los delitos cometidos. En consecuencia, la reprobación que el ordenamiento asigna a los hechos delictivos cometidos y, por consiguiente, la magnitud del interés general en la ejecución de las penas de prisión, son especialmente relevantes y no pueden ceder frente a la alegada inexistencia de riesgo de fuga.</w:t>
      </w:r>
    </w:p>
    <w:p w:rsidRPr="00C21FFE" w:rsidR="00AD51A7" w:rsidRDefault="00AD51A7">
      <w:pPr>
        <w:rPr/>
      </w:pPr>
      <w:r w:rsidRPr="&lt;w:rPr xmlns:w=&quot;http://schemas.openxmlformats.org/wordprocessingml/2006/main&quot;&gt;&lt;w:lang w:val=&quot;es-ES_tradnl&quot; /&gt;&lt;/w:rPr&gt;">
        <w:rPr/>
        <w:t xml:space="preserve">De otra parte, dada la posible duración de este proceso de amparo, y teniendo en cuenta la pena que todavía resta por cumplir al demandante —cuatro años y un mes—, no es previsible que el recurso de amparo pierda enteramente su finalidad, cuya resolución, no obstante, la Sala acuerda aquí acelerar en cuanto sea compatible con la tramitación procesal y el sosiego de la deliberación, anteponiéndolo en el orden de señalamientos, dada la gravedad de los perjuicios que la no suspensión de las penas privativas de libertad podría acarrear al demandante si en su día prospera el recurso de amparo interpuesto (AATC 334/2004, de 13 de septiembre, 144/1990, de 29 de marzo; 169/1995, de 5 de junio; 385/1996, de 18 de diciembre,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las resoluciones recurridas en 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treinta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