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180</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junio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2178-2004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2178-2004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 de abril de 2004, don Juan Luis Navas García, Procurador de los Tribunales, y de doña Nancy Leticia Verdesoto Suárez y doña Marisela del Carmen Noboa Verdesoto, interpuso recurso de amparo contra las resoluciones judiciales que se citan en el encabezamiento.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en que se basa la pretensión de amparo son los siguientes: </w:t>
      </w:r>
    </w:p>
    <w:p w:rsidRPr="00C21FFE" w:rsidR="00AD51A7" w:rsidRDefault="00AD51A7">
      <w:pPr>
        <w:rPr/>
      </w:pPr>
      <w:r w:rsidRPr="&lt;w:rPr xmlns:w=&quot;http://schemas.openxmlformats.org/wordprocessingml/2006/main&quot;&gt;&lt;w:lang w:val=&quot;es-ES_tradnl&quot; /&gt;&lt;/w:rPr&gt;">
        <w:rPr/>
        <w:t xml:space="preserve">a) Por Sentencia del Juzgado de lo Penal núm. 17 de Madrid, de 30 de septiembre de 2003, se condenó a las demandantes de amparo como autoras de tres delitos relativos a la prostitución, sin circunstancias modificativas de la responsabilidad, a la pena de dos años de prisión por cada uno de los delitos, accesoria legal y multa de doce meses, a razón de 3 euros de cuota diaria, responsabilidad personal subsidiaria en caso de impago de 1 día de privación de libertad por cada dos cuotas no satisfechas y al pago de las costas procesales por mitad. </w:t>
      </w:r>
    </w:p>
    <w:p w:rsidRPr="00C21FFE" w:rsidR="00AD51A7" w:rsidRDefault="00AD51A7">
      <w:pPr>
        <w:rPr/>
      </w:pPr>
      <w:r w:rsidRPr="&lt;w:rPr xmlns:w=&quot;http://schemas.openxmlformats.org/wordprocessingml/2006/main&quot;&gt;&lt;w:lang w:val=&quot;es-ES_tradnl&quot; /&gt;&lt;/w:rPr&gt;">
        <w:rPr/>
        <w:t xml:space="preserve">La Sentencia considera probado que las dos recurrentes durante el año 1999 introdujeron en España a súbditas ecuatorianas en situación económica precaria, a quienes facilitaban los medios económicos y documentales con ayuda de un abogado de Ecuador, prometiéndoles un trabajo digno y remunerado en España, contrayendo con ellas una deuda que debían pagar con las ganancias obtenidas en este país. Cuando llegaban a España, las acusadas, mediante coacciones y amenazas, las obligaban a mantener relaciones sexuales a cambio de precio, para poder cobrar la deuda lo más rápidamente posible, imponiéndoles el lugar de hospedaje, vigilando sus actividades, cobrando el precio y retirándoles los pasaportes para evitar que huyeran. Una actividad que considera que realizaron al menos con tres personas: Enis Amadia Orovio Rodríguez (a quien obligaron en 1999 al menos durante dos meses y veinte días a ejercer la prostitución en clubes y discotecas de Madrid), Mayra Lorena Grande Padilla, llegada a España el 7 de abril de 2000, hospedada por las acusadas en su domicilio y obligada durante dos meses a ejercer la prostitución en un club y en la Casa de Campo de Madrid, y Rosa Elisabeth Machuca Noboa, a quien obligaron a ejercer la prostitución durante al menos tres meses en la Casa de Campo de Madrid. </w:t>
      </w:r>
    </w:p>
    <w:p w:rsidRPr="00C21FFE" w:rsidR="00AD51A7" w:rsidRDefault="00AD51A7">
      <w:pPr>
        <w:rPr/>
      </w:pPr>
      <w:r w:rsidRPr="&lt;w:rPr xmlns:w=&quot;http://schemas.openxmlformats.org/wordprocessingml/2006/main&quot;&gt;&lt;w:lang w:val=&quot;es-ES_tradnl&quot; /&gt;&lt;/w:rPr&gt;">
        <w:rPr/>
        <w:t xml:space="preserve">b) Contra la anterior resolución se interpuso recurso de apelación, desestimado por Sentencia de la Sección Veintitresava de la Audiencia Provincial de Madrid, de 5 de febrero de 2004, que confirma íntegramente la de instancia.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la vulneración de los derechos de las recurrentes a la utilización de los medios de prueba pertinentes para la defensa (art. 24.2 CE), a la defensa en relación con el principio de contradicción (art. 24.2 CE) y a la presunción de inocencia (art. 24.2 CE).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56.1 LOTC, las demandantes solicitan que se deje en suspenso la ejecución de la Sentencia, alegando que su ejecución podría ocasionarle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 de marzo de 2006 la Sección Primera de este Tribunal acordó la admisión a trámite de la demanda así como, a tenor de lo establecido en el art. 51 LOTC, requerir atentamente al Juzgado de lo Penal núm. 17 y a la Audiencia Provincial de Madrid para que remitieran testimonio de las actuaciones, interesándose al tiempo que emplazasen a quienes fueron parte en el procedimiento, a excepción de las demandantes de amparo, para que pudieran comparecer en el recurso de amparo.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suspensión y, de conformidad con lo previsto en el art. 56 LOTC, conceder un plazo común de tres días al Ministerio Fiscal y a las recurrentes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día 13 de marzo de 2006, realiza sus alegaciones el Ministerio Fiscal, interesando la denegación de la suspensión. </w:t>
      </w:r>
    </w:p>
    <w:p w:rsidRPr="00C21FFE" w:rsidR="00AD51A7" w:rsidRDefault="00AD51A7">
      <w:pPr>
        <w:rPr/>
      </w:pPr>
      <w:r w:rsidRPr="&lt;w:rPr xmlns:w=&quot;http://schemas.openxmlformats.org/wordprocessingml/2006/main&quot;&gt;&lt;w:lang w:val=&quot;es-ES_tradnl&quot; /&gt;&lt;/w:rPr&gt;">
        <w:rPr/>
        <w:t xml:space="preserve">Tras resumir los antecedentes procesales del caso y recordar la jurisprudencia de este Tribunal en cuanto a la suspensión de la ejecución de los actos de los poderes públicos recurridos en amparo, se destaca que respecto de las penas privativas de libertad impuestas no procede la suspensión a la vista de la naturaleza de la infracción cometida y de la duración de las penas impuestas; que las penas de inhabilitación impuestas, por su condición de accesorias, han de seguir la misma suerte que la principal; y respecto de la pena de multa y las costas impuestas, que los perjuicios derivados de la ejecución serán meramente económicos y, por tanto, susceptibles de reparación.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en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 por todos, AATC 18/1998, 47/1998, 79/1998, 182/1998, 186/1998, 99/2002), salvo que el demandante acredite suficientemente la irreparabilidad que para sus derechos fundamentales pudiera tener la inejecución del fallo, privando al amparo de su finalidad (AATC 51/1989, 136/1996, 310/1996, 420/1997 y 13/1999, entre otros muchos). Por perjuicio irreparable hemos entendido aquel que provoque que el restablecimiento del recurrente en el derecho constitucional vulnerado sea tardío e impida su efectiva restauración (AATC 20/1992, 370/1996, 69/1997, 25/2002, 9/2003).</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w:t>
      </w:r>
    </w:p>
    <w:p w:rsidRPr="00C21FFE" w:rsidR="00AD51A7" w:rsidRDefault="00AD51A7">
      <w:pPr>
        <w:rPr/>
      </w:pPr>
      <w:r w:rsidRPr="&lt;w:rPr xmlns:w=&quot;http://schemas.openxmlformats.org/wordprocessingml/2006/main&quot;&gt;&lt;w:lang w:val=&quot;es-ES_tradnl&quot; /&gt;&lt;/w:rPr&gt;">
        <w:rPr/>
        <w:t xml:space="preserve">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300/1999 y 42/2000, entre otros).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conduce a la denegación de la suspensión solicitada.</w:t>
      </w:r>
    </w:p>
    <w:p w:rsidRPr="00C21FFE" w:rsidR="00AD51A7" w:rsidRDefault="00AD51A7">
      <w:pPr>
        <w:rPr/>
      </w:pPr>
      <w:r w:rsidRPr="&lt;w:rPr xmlns:w=&quot;http://schemas.openxmlformats.org/wordprocessingml/2006/main&quot;&gt;&lt;w:lang w:val=&quot;es-ES_tradnl&quot; /&gt;&lt;/w:rPr&gt;">
        <w:rPr/>
        <w:t xml:space="preserve">En cuanto a la pena privativa de libertad, la ponderación de intereses que hemos de llevar a cabo obliga a considerar, entre otros factores, la gravedad y trascendencia social del delito y la gravedad de la pena impuesta (seis años), factores que determinan la existencia de un especial interés en la ejecución de las resoluciones judiciales, que debe considerarse preponderante frente al eventual perjuicio causado a las recurrentes, cuya irreparabilidad, en caso de un eventual otorgamiento del amparo, puede atemperarse otorgando al recurso una tramitación preferente. Tampoco procede la suspensión de la pena accesoria legalmente impuesta, pues conforme a nuestra jurisprudencia las penas accesorias han de seguir la misma suerte que la principal (AATC 114/1984, 267/1995, 286/1997, 258/2000, 63/2001, 106/2002).</w:t>
      </w:r>
    </w:p>
    <w:p w:rsidRPr="00C21FFE" w:rsidR="00AD51A7" w:rsidRDefault="00AD51A7">
      <w:pPr>
        <w:rPr/>
      </w:pPr>
      <w:r w:rsidRPr="&lt;w:rPr xmlns:w=&quot;http://schemas.openxmlformats.org/wordprocessingml/2006/main&quot;&gt;&lt;w:lang w:val=&quot;es-ES_tradnl&quot; /&gt;&lt;/w:rPr&gt;">
        <w:rPr/>
        <w:t xml:space="preserve">Por lo que se refiere a los pronunciamientos de contenido patrimonial —multa y costas procesales—, de conformidad con el criterio de este Tribunal, al tratarse de condenas de contenido económico, los perjuicios anejos a su ejecución son perfectamente reparables en caso de estimarse el amparo (AATC 152/1996, 371/1996, 91/1997, 181/1998, 182/1998, 273/1998, 189/2000, 193/2000, 204/2000, 106/2002).</w:t>
      </w:r>
    </w:p>
    <w:p w:rsidRPr="00C21FFE" w:rsidR="00AD51A7" w:rsidRDefault="00AD51A7">
      <w:pPr>
        <w:rPr/>
      </w:pPr>
      <w:r w:rsidRPr="&lt;w:rPr xmlns:w=&quot;http://schemas.openxmlformats.org/wordprocessingml/2006/main&quot;&gt;&lt;w:lang w:val=&quot;es-ES_tradnl&quot; /&gt;&lt;/w:rPr&gt;">
        <w:rPr/>
        <w:t xml:space="preserve">Igualmente ha de denegarse, en el momento actual, la suspensión de la responsabilidad personal subsidiaria para el caso de impago de la pena de multa, pues se trata de una eventualidad incierta en este momento, que depende de que la multa no llegue a ser abonada voluntariamente o por la vía de apremio. En cualquier caso, de sobrevenir esta eventualidad futura, ello podría dar lugar a la modificación de la decisión que ahora se adopta, en virtud de lo establecido en el art. 57 LOTC (AATC 107/1998, 136/1999, 227/1999, 245/1999, 61/2000, 41/2002).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junio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