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1740-2005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interesada de la Sentencia impugnada en el recurso de amparo núm. 01740-2005, promovido por don Andrés Colmenar Bravo.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11 de marzo de 2005 el Procurador de los Tribunales don Víctor Requejo Calvo presentó demanda de amparo constitucional, en representación de don Andrés Colmenar Bravo, contra Sentencia de 2 de diciembre de 2004, dictada por la Sección Novena Bis de la Audiencia Provincial de Madrid, recaída en el recurso de apelación núm. 177-2004, interpuesto contra la resolución dictada por el Juzgado de Primera Instancia núm. 40 de Madrid en los autos núm. 475-2001 sobre resolución de arrendamiento urbano. Por otrosí solicitó la suspensión de la Sentencia impugnada en cuanto a la imposición de las costas,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22 de mayo de 2007 la Sala Segunda de este Tribunal Constitucional acordó la admisión a trámite de la demanda de amparo y la formación de la oportuna pieza separada para la tramitación del incidente de suspensión de la resolución recurrida, otorgando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8 de junio de 2007 evacuó el Fiscal el trámite de alegaciones conferido, interesando la denegación de la suspensión solicitada por aplicación de la consolidada doctrina de este Tribunal, que niega la suspensión de las resoluciones que condenan al pago de una suma de dinero y, de modo particular, las referidas al pago de las costas procesales, por cuanto la ejecución de las mismas no perjudica de ordinario la finalidad del amparo por ser factible su restitución si el amparo es finalmente otorgado.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se hizo uso del trámite de alegaciones por la representación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reciente reforma de la Ley Orgánica 6/2007,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señala el Fiscal en su escrito de alegaciones este último criterio de denegación de la suspensión ha sido particularmente aplicado por este Tribunal cuando de la suspensión de las resoluciones que condena al pago de las costas procesales se trata (AATC 277/2006; 320/2006, 446/2006, entre muchos otros), como ocurre en el presente caso. Por ello procede la denegación de la suspensión solicitada respecto del pronunciamiento sobre la condena en costas; tanto más cuanto el demandante no ha formulado alegación alguna en el presente incidente, ni ha intentado justificar el carácter irreversible de los daños que podría ocasionarle el cumplimiento de la condena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interesada de la Sentencia impugnada en el recurso de amparo núm. 01740-2005, promovido por don Andrés Colmenar Bravo.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