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6898-2007, planteada por el Juzgado de lo Contencioso-Administrativo núm. 4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2007 tuvo entrada en el Registro General de este Tribunal un escrito del Juzgado de lo Contencioso-Administrativo núm. 4 de Córdoba al que se acompaña, junto con el testimonio del correspondiente procedimiento, el Auto de 30 de julio de 2007 en el que se acuerda plantear cuestión de inconstitucionalidad en relación con los arts. 56 a 64 de la Ley de Andalucía 18/2003, de 29 de diciembre, de medidas fiscales y administrativas, por posible vulneración de los arts. 133, 139.2, 149.1.14, 156 y 157.2 CE en relación con los arts. 6.2 y 9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745-2006) contra la resolución de la Junta Provincial de Hacienda de Córdoba por la que estima la reclamación económico-administrativa 2890-2005,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solicito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El 14 de junio de 2007 se celebro la vista del recurso en la que, tras la exposición de las pretensiones de la recurrente Enresa, de la Junta de Andalucía como demandada y de Unión Fenosa Generación, S.A en calidad de codemandada, se declararon los autos conclusos para sentencia señalándose a continuación, de acuerdo con el acta de vista, lo siguiente: “dándose traslado en este acto a las partes y al Ministerio Fiscal por plazo de diez días para formular alegaciones sobre el planteamiento de la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en el proceso a quo. Por su parte, el Ministerio Fiscal estimo procedente el planteamiento de la cuestión por estimar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dicto el Auto de 30 de julio de 2007 planteando la cuestión de inconstitucionalidad en relación con los arts. 56 a 64 de la Ley del Parlamento de Andalucía 18/2003, de 29 de diciembre, de medidas fiscales y administrativas por posible vulneración de los arts. 133, 139.2, 149.1.14, 156 y 157.2 CE en relación con los arts. 6.3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dicto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arts 133, 139.2, 149.1.14, 156, 157.2 CE en relación con los arts. 6.2 y 9 LOFCA,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en el Auto 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tienen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ente ambos tributos dado que, a su juicio, el IDRR recae sobre materia imponible ya gravada por el IAE por recaer sobre la misma actividad del IAE, epígrafe 143.3 almacenamiento de residuos radiactivos, por lo que considera que el tributo autonómico puede ser contrario al art. 6.2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d) 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El Auto termina disponiendo el planteamiento al Tribunal Constitucional de la posible inconstitucionalidad de los arts. 56, 57, 58, 59, 60, 61, 62, 63 y 64 de la Ley del Parlamento de Andalucía 18/2003, de 29 de diciembre, de medidas fiscales y administrativas por poder ser contrarios a los arts. 133, 139.2, 149.1.14, 156 y 157.2 CE en relación con los arts. 6.3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25 de septiembre de 2007, se acordó oír al Fiscal General del Estado para que, en el plazo de diez días, alegara lo que considerara conveniente acerca de la admisibilidad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30 de octubre de 2007 el Fiscal General del Estado presentó su escrito de alegaciones en el que señala que, tratándose de un supuesto idéntico al que se refería la cuestión de inconstitucionalidad núm. 6895/2007, planteada por el mismo órgano judicial, se remite a lo manifestado en aquella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4 de Córdoba plantea cuestión de inconstitucionalidad en relación con los arts. 56 a 64 de la Ley del Parlamento de Andalucía 18/2003, de 29 de diciembre, de medidas fiscales y administrativas, 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Fiscal previamente a la elaboración del Auto de planteamiento de la cuestión de inconstitucionalidad por parte del órgano judicial promotor de la misma. En efecto, en el presente caso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Fiscal nos hemos pronunciado ya en el ATC de 12 de diciembre de 2007 (FFJJ 2 y 3) dictado como consecuencia de la cuestión de inconstitucionalidad núm. 6895-2007, planteada por el propio Juzgado de lo Contencioso-Administrativo núm. 4 de Córdoba, en el que estimamos que el citado trámite de audiencia hubiera sido realizado correctamente si el órgano judicial, apreciada la duda de constitucionalidad suscitada en el proceso, la hubiera efectivamente compartido y trasladado de forma autónoma a las partes y al Ministerio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de 12 de diciembre de 2007, en el que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ya citado ATC de 12 de diciembre,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6898-2007, planteada por el Juzgado de lo Contencioso-Administrativo núm. 4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