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8056-2005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en lo que se refiere a la pena privativa de libertad de dos años de prisión y a su accesoria legal de inhabilitación del derecho de sufragio pasivo. Denegando la suspensión de los restantes 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14 de noviembre de 2005 el Procurador de los Tribunales don Pedro Antonio González Sánchez, en representación de don Manuel Martos Leal, interpuso recurso de amparo contra la Sentencia de la Audiencia Provincial de Córdoba de 6 de octubre de 2005 recaída en el rollo de apelación 270-2005, que revoca la absolución acordada por la Sentencia de 19 de mayo de 2005 dictada por el Juzgado de lo Penal núm. 1 de Córdoba en procedimiento abreviado 50-2004, condenando por delito de maltrato habitual del artículo 173.2 CP a una pena de dos años de prisión, privación del derecho a tenencia de armas por tres años y prohibición de aproximación, comunicación o acercamiento a su ex esposa, su domicilio o su lugar de trabajo por tiempo de cuatro años; y por una falta de amenazas y otra de vejaciones a la pena de arresto de cuatro fines de semana por cada una de ellas. Se le condenó también a una indemnización de 6.000 euros en concepto de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26 de febrero de 2008,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presentado en el Registro general de este Tribunal el 7 de marzo de 2008, en el que interesó la suspensión de las penas privativa de libertad de prisión y de arresto de fin de semana, considerando que, con arreglo a la doctrina de este Tribunal, no debían suspenderse el pronunciamiento relativo a la responsabilidad civil ni tampoco la privación del derecho a la tenencia de armas y la medida de alejamiento. Respecto de estas últimas manifiesta que, de una parte, el recurrente no ha acreditado los perjuicios derivados de la no suspensión de tales penas, ni si resultarían en modo alguno irreparables. De otra parte, enfatizando el carácter excepcional y de aplicación restrictiva de la suspensión, considera que, aun cuando hayan de considerarse penas accesorias a la privativa de libertad, ello no justificaría la suspensión, ni está aconsejada ésta al ser medidas orientadas a la protección de la víctima que al mismo tiempo no conllevan un grave perjuicio para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trámite de alegaciones conferido mediante escrito presentado en el Registro General de este Tribunal el día 5 de marzo de 2008, en el que reiteró la petición de suspensión de la Sentencia recurrida, afirmando que de lo contrario se le causaría un grave perjuicio que haría perder la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dada la presunción de legitimidad que alcanza a todas las actuaciones de los Poderes públicos, si bien, dado el carácter cautelar de la suspensión, debe ponderarse la concurrencia de los requisitos establecidos para su adopción atendiendo en primer lugar a determinar su presupuesto: esto es, que en caso de no adoptarse se ocasionará al actor un perjuicio que hará perder al amparo su finalidad, debiendo ponderarse los intereses generales y los derechos fundamentales de terceros, cuya perturbación grave o lesión actúa como límite de la adopción de la medida cautelar, y el interés particular del demandante de amparo que alega a su vez la lesión de un derecho fundamental, siendo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en que se solicita por el demandante de amparo la suspensión respecto de los pronunciamientos condenatorios de la Sentencia recurrida, si bien de la lectura tanto de la demanda de amparo como del posterior escrito presentado en la pieza del incidente de suspensión, parece ceñir su petición a la pena privativa de libertad de dos años de prisión. En cualquier caso, resulta procedente pronunciarse sobre el conjunto de los pronunciamientos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ésta, y de las dos penas de arresto de cuatro fines de semana, resulta de plena aplicación al supuesto examinado la doctrina general y reiterada de este Tribunal de que la ejecución de las penas privativas de libertad puede ocasionar al recurrente perjuicios irreparables que harían perder al amparo su finalidad, porque la pérdida de la libertad es irreparable y no puede restituirse (AATC 98/1983, 179/1984, 574/1985, 301/1995, 321/1995, 152/1996, 163/1996 y otros muchos). En su virtud procede, sin más, y en consonancia con lo solicitado por el Ministerio Fiscal, estimar la pretensión de suspensión de la Sentencia en cuanto al cumplimiento de las citadas penas privativas de libertad impuestas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prohibición de aproximación, comunicación o acercamiento a su ex esposa, y a la privación del derecho y porte de armas, debe matizarse el criterio antes expuesto de irreparabilidad del perjuicio derivado de la pérdida o restricción de libertad, no sólo porque en este caso no tiene el mismo alcance que la pena de prisión, sino también atendiendo al bien jurídico protegido de evitar la posible desprotección de las víctimas, circunstancias que han sido tomadas en cuenta por este Tribunal para atemperar aquél criterio (AATC 4/2005, de 17 de enero; 247/2003, de 14 de julio, 53/2003, de 10 de febrero). Así, en el citado ATC 53/2003, hemos fundado tal conclusión en que “la imposición en la Sentencia de la pena de alejamiento de la víctima tiene por objeto proteger la integridad física de aquélla —que constituye, asimismo, un derecho fundamental— frente a eventuales nuevos ataques, y que la restricción de la libertad ambulatoria del actor a dicha pena es mínima”. Por tanto no procede la estimación de la suspensión de la pena de alejamiento, ni de la prohibición de tenencia de armas, a la que pueden hacerse extensivos los anteriores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en relación con la indemnización civil, este Tribunal viene manteniendo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106/2002 y 119/2003,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en lo que se refiere a la pena privativa de libertad de dos años de prisión y a su accesoria legal de inhabilitación del derecho de sufragio pasivo. Denegando la suspensión de los restantes 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