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 ejecución de la Sentencia dictada el 27 de abril de 2004 por el Juzgado de menores núm. 2 de Barcelona, confirmada por la Sección Tercera de la Audiencia Provincial de Barcelona mediante Sentencia de 30 de mayo de 2006 (rollo</w:t>
            </w:r>
          </w:p>
          <w:p w:rsidRPr="00D13423" w:rsidR="00AD51A7" w:rsidRDefault="00AD51A7">
            <w:pPr>
              <w:rPr/>
            </w:pPr>
            <w:r w:rsidRPr="&lt;w:rPr xmlns:w=&quot;http://schemas.openxmlformats.org/wordprocessingml/2006/main&quot;&gt;&lt;w:color w:val=&quot;800080&quot; /&gt;&lt;w:szCs w:val=&quot;24&quot; /&gt;&lt;/w:rPr&gt;">
              <w:rPr/>
              <w:t xml:space="preserve">de apelación núm. 128-2004)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marzo de 2007, don Juan Felipe G. O., representado por el Procurador de los Tribunales don Fernando Ruiz de Velasco Martínez de Ercilla y asistido por el Letrado don Juan Antonio del Moral Vizcaíno, interpuso recurso de amparo contra la Sentencia dictada el 30 de mayo de 2006 por la Sección Tercera de la Audiencia Provincial de Barcelona en el rollo de apelación núm. 128-2004, desestimatoria del recurso de apelación interpuesto contra la Sentencia dictada el 27 de abril de 2004 por el Juzgado de Menores núm. 2 de Barcelona en el expediente núm. 627-2003; así como contra el Auto de la Sección Segunda de la Audiencia Provincial de Barcelona recaído el 4 de julio de 2005 en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dictada el 27 de abril de 2004 por el Juzgado de Menores núm. 2 de Barcelona, como coautor de un delito de asesinato y de una falta de lesiones, a la medida de ocho años de internamiento en régimen cerrado, más la de cuatro años adicionales de libertad vigilada. </w:t>
      </w:r>
    </w:p>
    <w:p w:rsidRPr="00C21FFE" w:rsidR="00AD51A7" w:rsidRDefault="00AD51A7">
      <w:pPr>
        <w:rPr/>
      </w:pPr>
      <w:r w:rsidRPr="&lt;w:rPr xmlns:w=&quot;http://schemas.openxmlformats.org/wordprocessingml/2006/main&quot;&gt;&lt;w:lang w:val=&quot;es-ES_tradnl&quot; /&gt;&lt;/w:rPr&gt;">
        <w:rPr/>
        <w:t xml:space="preserve">b) Contra la referida Sentencia interpuso el demandante de amparo recurso de apelación, que fue desestimado por la Sección Tercera de la Audiencia Provincial de Barcelona mediante Sentencia de 30 de mayo de 2006. </w:t>
      </w:r>
    </w:p>
    <w:p w:rsidRPr="00C21FFE" w:rsidR="00AD51A7" w:rsidRDefault="00AD51A7">
      <w:pPr>
        <w:rPr/>
      </w:pPr>
      <w:r w:rsidRPr="&lt;w:rPr xmlns:w=&quot;http://schemas.openxmlformats.org/wordprocessingml/2006/main&quot;&gt;&lt;w:lang w:val=&quot;es-ES_tradnl&quot; /&gt;&lt;/w:rPr&gt;">
        <w:rPr/>
        <w:t xml:space="preserve">c) Disconforme con la anterior Sentencia, presentó recurso de casación por infracción de Ley, que fue admitido a trámite por Auto de la mencionada Sección de 3 de octubre de 2006, si bien por Auto de la Sala de lo Penal del Tribunal Supremo de 26 de febrero de 2007 se acordó inadmitir el recurso, en atención a que contra las Sentencias recaídas en procesos de menores sólo cabe recurso de casación para la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las resoluciones judiciales recurridas han vulnerado sus derechos al juez imparcial (art. 24.2 CE), a un proceso con todas las garantías (art. 24.2 CE), a utilizar los medios de prueba pertinentes para la defensa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el recurrente solicita que se deje en suspenso la ejecución de la Sentencia condenatoria,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julio de 2008 la Sección Segunda de este Tribunal acordó la admisión a trámite de la demanda de amparo, así como, a tenor de lo establecido en el art. 51 LOTC, requerir atentamente a la Sala de lo Penal del Tribunal Supremo, a la Sección Tercera de la Audiencia Provincial de Barcelona y al Juzgado de Menores núm. 2 de Barcelona para que remitieran testimonio de sus actuaciones, interesándose al tiempo que se emplazase a quienes fueron parte en el procedimiento penal, a excepción del demandante de amparo, para que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mediante escrito presentado el 18 de julio de 2008, reitera su petición de que este Tribunal proceda a suspender la ejecución de la Sentencia dictada por el Juzgado de Menores núm. 2 de Barcelona, confirmada por la Sección Tercera de la Audiencia Provincial de Barcelona. Expone que ha estado privado de libertad desde el 1 de noviembre de 2003 hasta el 30 de abril de 2004 y, nuevamente, desde el 15 de marzo de 2007 hasta el momento; que durante el periodo intermedio cumplió puntualmente la medida de presentación tres días a la semana y tiene arraigo en España, donde viven su madre, su hermana y su novia. Añade que, dada la posible duración de la tramitación del proceso de amparo, cuando recaiga Sentencia en el mismo ya habría cumplido más de la mitad de la condena, circunstancia que por sí misma le permitiría acceder a la situación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alegaciones presentado el 22 de julio de 2008 se opone a la suspensión solicitada, dada la gravedad de la medida de internamiento en régimen cerrado impuesta, acorde con la gravedad de los hechos —constitutivos de delito de asesinato— que en su momento tuvieron una grave repercusión social. Añade que el demandante de amparo no ha justificado la concurrencia de circunstancias especiales que sirvan de fundamento a su petición. No obstante, solicita la tramitación preferente del recurso de amparo, anteponiéndolo en el orden de señalamientos.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a un interés constitucionalmente protegido,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AATC 251/2000, de 30 de octubre; 63/2001, de 26 de marzo; 170/2001, de 22 de junio; 9/2003, de 20 de enero; 338/2005, de 26 de septiembre; y 286/2007, de 18 de junio).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En concreto, en las condenas a penas privativas de libertad de hasta cinco años la regla general ha sido su suspensión conforme al criterio genérico de la pérdida de eficacia del amparo —atendida su duración y la previsible de resolución del proceso de amparo— y de entidad de la pena (ATC 80/2006, de 13 de marzo, FJ 1 in fine, y los que en el mismo se citan),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denegar la suspensión solicitada dado que a la gravedad de los hechos (participación en un delito de asesinato, en concepto de coautor) se une la consiguiente entidad de las medidas impuestas —ocho años de internamiento en régimen cerrado y otros cuatro de libertad vigilada— siendo así que el tiempo que el demandante ha permanecido privado de libertad no alcanza los dos años (en la demanda de amparo se manifiesta que el recurrente permaneció en situación de privación de libertad desde el 1 de noviembre de 2003 hasta el 30 de abril de 2004 y, nuevamente, desde el 15 de marzo de 2007 para el cumplimiento de la medida de ocho años de internamiento en régimen cerrado, situación en la que continúa), por lo que, aun descontado dicho tiempo, no se supera el límite de los cinco años que, como regla general, venimos aplicando, por lo que no procede, en el momento actual, acordar la suspensión solicitada.</w:t>
      </w:r>
    </w:p>
    <w:p w:rsidRPr="00C21FFE" w:rsidR="00AD51A7" w:rsidRDefault="00AD51A7">
      <w:pPr>
        <w:rPr/>
      </w:pPr>
      <w:r w:rsidRPr="&lt;w:rPr xmlns:w=&quot;http://schemas.openxmlformats.org/wordprocessingml/2006/main&quot;&gt;&lt;w:lang w:val=&quot;es-ES_tradnl&quot; /&gt;&lt;/w:rPr&gt;">
        <w:rPr/>
        <w:t xml:space="preserve">En todo caso, a fin de reducir las consecuencias que esta denegación pueda ocasionar al demandante, la Sala, como se ha hecho en ocasiones precedentes, acelerará la resolución del presente recurso, anteponiéndola incluso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 ejecución de la Sentencia dictada el 27 de abril de 2004 por el Juzgado de menores núm. 2 de Barcelona, confirmada por la Sección Tercera de la Audiencia Provincial de Barcelona mediante Sentencia de 30 de mayo de 2006 (rollo</w:t>
      </w:r>
    </w:p>
    <w:p w:rsidRPr="" w:rsidR="00AD51A7" w:rsidRDefault="00AD51A7">
      <w:pPr>
        <w:rPr/>
      </w:pPr>
      <w:r w:rsidRPr="&lt;w:rPr xmlns:w=&quot;http://schemas.openxmlformats.org/wordprocessingml/2006/main&quot;&gt;&lt;w:szCs w:val=&quot;24&quot; /&gt;&lt;/w:rPr&gt;">
        <w:rPr/>
        <w:t xml:space="preserve">de apelación núm. 128-2004)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