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doña María Josefa Uzkudun Etxeganusia en el recurso de amparo núm. 4169-2010.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19 de mayo de 2010, el Procurador de los Tribunales don Javier Cuevas Ribas, en nombre y representación de doña María Josefa Uzkudun Etxenagusia, interpuso recurso de amparo contra el Auto de 17 de agosto de 2009, dictada por la Sección Segunda de la Sala de lo Penal de la Audiencia Nacional, en la ejecutoria núm. 30-1996, dimanante del sumario núm. 1-1985 procedente del Juzgado Central de Instrucción núm. 5, por el que se aprueba la fecha de licenciamiento definitivo del recurrente, y Sentencia 195/2010, de 24 de febrero, de la Sala Segunda del Tribunal Supremo, que desestima el recurso de casación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de amparo fue condenado a diversas penas privativas de libertad cuya suma supera los treinta años de duración, si bien, de conformidad con el art. 70 del Código penal de 1973, una vez operada la oportuna refundición de condenas, éste es el límite máximo de cumplimiento efectivo.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17 de agosto de 2010, la Sección Segunda de la Sala de lo Penal de la Audiencia Nacional dictó Auto en el que se denegaba la fecha de licenciamiento prevista para el 27 de agosto de 2009, aprobaba el licenciamiento definitivo del penado para el día 5 de febrero de 2021.</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c) Contra dicho Auto interpuso el demandante recurso de casación, que fue desestimado por Sentencia del Tribunal Supremo de 24 de febrero de 2010 que, del mismo modo que la providencia impugnada, se sustenta en el criterio iniciado por la Sala de lo Penal del Tribunal Supremo con la Sentencia 197/2006, de 28 de febrero, con arreglo al cual el beneficio de redención de penas por el trabajo consagrado en el art. 100 del Código penal de 1973 ha de aplicarse, no a ese máximo de cumplimiento de treinta años, sino a cada una de las penas impuestas en las diversas causas.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vulnerado los derechos a la defensa y a un proceso con todas las garantías (art. 24.2 CE), a la libertad (art. 17.1 CE), a la tutela judicial efectiva (art. 24.1 CE), a la legalidad penal (art. 25.2 CE) así como los principios de seguridad jurídica e irretroactividad (art. 9.3 CE), y al principio de que las penas privativas de libertad han de estar orientadas hacia la reeducación y reinserción social (art. 25.2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otrosí, el recurrente solicitaba la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14 de abril de 2011, acordó admitir a trámite la demanda de amparo y, en aplicación de lo dispuesto en el art. 51 de la Ley Orgánica del Tribunal Constitucional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igual fecha, se acordó formar la oportuna pieza para la tramitación del incidente de suspensión y, de conformidad con lo dispuesto en el art. 56.4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evacuó el citado trámite a través de un escrito presentado en el Registro General de este Tribunal el 4 de mayo de 2011, en el que reiteró su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presentado el 17 de mayo de 2011, pide que se deniegue la suspensión solicitada, en atención al criterio seguido por este Tribunal en el ATC 206/2010, de 30 de diciembre, que resolvió una petición dimanante de un recurso sustancialmente igual al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18 de enero de 2012, la Sala Segunda de este Tribunal, acordó avocar al Pleno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ha quedado expuesto, el recurrente en amparo impugna el Auto de 17 de agosto de 2009 de la Audiencia Nacional por el que se aprueba la fecha de licenciamiento definitivo del recurrente, y la Sentencia del Tribunal Supremo de 24 de febrero de 2010 que confirma el anterior, de modo que las resoluciones judiciales recurridas en amparo no son aquellas que impusieron las penas privativas de libertad sino las que aprobaron el licenciamiento definitivo del penado aplicando el criterio jurisprudencial acogido por la Sala de lo Penal del Tribunal Supremo a partir de su Sentencia 197/2006,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 que el recurrente pretende es que este Tribunal acuerde cautelarmente su inmediata puesta en libertad en tanto se resuelva el recurso de amparo y, en consecuencia, se pronuncie sobre si el recurrente habría cumplido ya su condena el día 27 de agosto de 2009 (según sostiene el demandante) o si, en cambio, no la extingue hasta el día 5 de febrero de 2021 (como es el criterio de las resoluciones impugnadas), pues lo contrario, añade el recurrente, le produciría un perjuicio irreparable, en el caso de otorgarse finalmente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dijimos en el ATC 214/2007, de 16 de abril, dictado en un caso similar, “ponderando los intereses en juego en los términos anteriormente expuestos, este Tribunal entiende que ha de prevalecer el interés general en mantener la eficacia de las resoluciones judiciales, a la vista de la gravedad de los hechos por los que el recurrente se encuentra cumpliendo condena y de las penas impuestas, como pone de relieve el Ministerio Fiscal, así como de la lejanía del tiempo de cumplimiento definitivo de la misma en la apreciación llevada a cabo por las resoluciones impugnadas, lo que determinaría que la pérdida de la finalidad del amparo, caso de otorgarse el mismo, sería sólo parcial y puede atemperarse otorgando al recurso una tramitación preferente” (FJ 3). A lo anterior se añade la circunstancia de que la puesta en libertad del recurrente supondría, al menos parcialmente, un otorgamiento anticipado del amparo que se solicita, lo que desnaturalizaría el carácter cautelar de la medida (por todos, AATC 132/1982, de 31 de marzo, FJ único; 292/2005, de 4 de julio, FJ 2; 3/2006, de 16 de enero, FJ 2; 3/2011, de 14 de febrero, FJ único; o 92/2011, de 20 de junio, FJ 3). Ello conduce a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doña María Josefa Uzkudun Etxeganusia en el recurso de amparo núm. 4169-2010.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