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2516-2010, promovido por don Jorge González Endemaño, representado por el Procurador de los Tribunales don José Javier Cuevas Rivas y asistido por la Abogada doña Haizea Ziluaga Larreategi, contra el Auto de 21 de enero de 2010 de la Sala Segunda del Tribunal Supremo y contra los Autos de 29 de junio y 6 de mayo de 2009 dictados por la Sección Tercera de la Sala de lo Penal de la Audiencia Nacional.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marzo de 2010, el Procurador de los Tribunales don José Javier Cuevas Rivas, en nombre y representación de don Jorge González Endemaño,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González Endemaño fue condenado por la Sala de lo Penal de la Audiencia Nacional, Sección Tercera, mediante Sentencia de 14 de julio de 1998 (rollo de Sala 56-1995, sumario 54-1995 del Juzgado Central de Instrucción núm. 4), en calidad de autor de los delitos de atentado en relación con el de asesinato, de asesinato frustrado y de tenencia ilícita de armas a las penas de treinta, veinte y tres años de prisión, respectivamente, afirmándose en su fundamento de Derecho primero que la legislación más favorable es la del Código penal (CP) de 1973 porque “imponiendo penas muy similares al del actualmente vigente, sin embargo permite una reducción muy sensible de las mismas por medio de las reducciones ordinarias y extraordinarias que regula”. El señor González Endemaño fue condenado también, por Sentencia de la misma Sala y Sección de la Audiencia Nacional de 3 de diciembre de 2001 (rollo de Sala 84-1996, Sumario 70-1996 del Juzgado Central de Instrucción núm. 4), como autor de los delitos de integración en banda armada, de depósito de armas y de tenencia de explosivos a la penas de diez, siete y siete años de prisión,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Juez de vigilancia penitenciaria núm. 1 de Andalucía suscribió liquidación de condena de fecha 8 de noviembre de 2001, en la que se aprueba una propuesta de redención de penas por el trabajo, sin indicar si esa reducción se aplicará al límite de cumplimiento o a cada una de las penas. Posteriormente, la Sección Tercera de la Sala de lo Penal de la Audiencia Nacional, luego de rectificar un error material en la suma de las condenas impuestas por la segunda Sentencia (veinticuatro años), aprueba liquidación de condena de fecha 10 de diciembre de 2002 en la que se indica que dichas penas comenzarán a cumplirse el 8 de enero de 2025 y, en consecuencia, su cumplimiento será el 1 de enero de 2049, acusando recibo de esa liquidación el Director del centro penitenciario mediante escrito de 9 de enero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recibido el 11 de febrero de 2009 el interno Jorge González Endemaño interesa de la Sala la determinación del límite máximo de treinta años de cumplimiento de las penas impuestas en las Sentencias condenatorias referidas ut supra. La Sala de lo Penal de la Audiencia Nacional, Sección Tercera, acordó por Auto de 6 de mayo de 2009 “[a]cumular todas las penas de prisión impuestas en las Sentencias dictadas por esta Sección Tercera nº 31/98, de 14 de julio (Ejec. 27/01), y nº 29/01, de 3 de diciembre (Ejec. 30/02), relacionadas en los antecedentes de esta resolución para su cumplimiento sucesivo por el penado, con la limitación del máximo de cumplimiento de treinta años de prisión y con sujeción a lo expresado en el precedente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este Auto se formuló recurso de súplica, desestimado por Auto de la misma Sala y Sección de 29 de junio de 2009. A su vez contra este otro Auto se dedujo recurso de casación, inadmitido por Auto de 21 de enero de 2010 de la Sala Segunda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siete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del Convenio europeo para la protección de los derechos humanos y las libertades fundamentales (CEDH) y por el art. 14.1 y 5 del Pacto internacional de derechos civiles y políticos (PIDCP), todo ello en relación con el derecho a la libertad (art. 17 CE). Sostiene el recurrente que la Audiencia Nacional acordó en las resoluciones impugnadas la aplicación de la nueva doctrina de la Sala de lo Penal del Tribunal Supremo sentada en la Sentencia núm. 197/2006, de 20 de febrero, que establece un nuevo criterio en cuanto al cómputo de las redenciones por trabajo que empeoraba la situación del reo y obliga al cumplimiento íntegro de la condena de treinta años, decisión de la que el recurrente no ha podido defenderse ni someterla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aduce la vulneración del principio de legalidad (art. 25 CE, en relación con el art. 9.3 CE), por la interpretación realizada por la Audiencia Nacional de los arts. 70.2 y 100 CP 1973, así como de los arts. 66 del reglamento de prisiones de 1956 y del art. 202 del reglamento penitenciario actual. Según el recurrente la interpretación sentada por la Sala de lo Penal del Tribunal Supremo en su Sentencia núm. 197/2006, de 20 de febrero, y aplicada en el presente caso por la Audiencia Nacional,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denuncia el recurrente la vulneración del derecho a la tutela judicial efectiva sin indefensión (art. 24.1 CE), en cuanto garantiza la intangibilidad de las resoluciones judiciales firmes, en relación con el derecho a la libertad (art. 17.1 CE). Sostiene el recurrente que la nueva interpretación del cómputo de las redenciones sobre la totalidad de la condena que realiza la Sala de lo Penal del Tribunal Supremo en su Sentencia núm. 197/2006, de 28 de febrero, aplicada en su caso por la Audiencia Nacional en las resoluciones impugnadas en amparo, le genera indefensión e inseguridad jurídica, puesto que las redenciones aprobadas por los Juzgados de Vigilancia Penitenciaria (en su caso, el Auto de 8 de noviembre de 2001 del Juez de vigilancia penitenciaria núm. 1 de Andalucía), intangibles y firmes, aplicadas (como se venía haciendo) al tope de treinta años, suponían una expectativa de importante acortamiento de su condena. Además, argumenta que la Sentencia de 14 de julio de 1998 de la Sala de lo Penal de la Audiencia Nacional, Sección Tercera, estableció de modo firme e intangible que las redenciones por trabajo se aplicaban a la fecha límite de cumplimiento, pues se lee en su fundamento de derecho primero que la legislación más favorable es la del Código penal de 1973 porque “imponiendo penas muy similares al del actualmente vigente, sin embargo permite una reducción muy sensible de las mismas por medio de las reducciones ordinarias y extraordinarias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aduce la lesión del principio de legalidad (art. 25.1 CE, en relación con el art. 9.3 CE, así como el art. 7 CEDH y el art. 15 PIDCP), por aplicación retroactiva de una ley desfavorable. Se denuncia por el recurrente que las resoluciones judiciales impugnadas, al seguir el nuevo criterio establecido por la Sala de lo Penal del Tribunal Supremo en su Sentencia núm. 197/2006, de 20 de febrero, están aplicando retroactivamente el art. 78 CP 1995 a un penado bajo el Código penal de 1973, norma ésta que el recurrente considera como ley más favorable, en la medida en que las redenciones incidían sobre la liquidación de condena, acortando el tiempo de internamiento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lesión del derecho a la igualdad en la aplicación de la ley (art. 14 CE), en relación con el art. 14 CEDH. Denuncia el recurrente que las resoluciones judiciales impugnadas incurren en un injustificado y arbitrario cambio de criterio al aplicar la Sentencia de la Sala de lo Penal del Tribunal Supremo núm. 197/2006, de 20 de febrero, que rompe con la jurisprudencia anterior al respecto,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sexto motivo de amparo se alega la vulneración del derecho a la libertad (art. 17.1 CE), en relación con los arts. 5 y 7.1 CEDH y los arts. 9.1 y 5 y 15.1 PIDCP. Tras resaltar que, conforme a la doctrina de este Tribunal, la redención de penas por el trabajo afecta al derecho a la libertad personal, se sostiene por el recurrente, con cita del Voto particular a la Sentencia de la Sala de lo Penal del Tribunal Supremo núm. 197/2006, de 20 de febrero, que el mencionado cambio de criterio jurisprudencial contra reo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alega la vulneración del art. 25.2 CE, en relación con las “Reglas mínimas para tratamiento de los reclusos” elaboradas en el primer Congreso de las Naciones Unidas sobre prevención del delito y tratamiento del delincuente (Ginebra, 1955) y el art. 10.3 PIDCP.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20 de febrero, aplicada por la Audiencia Nacional en las resoluciones impugnadas en amparo, al dejar sin efecto útil alguno la redención de penas y la libertad condicional en presos con condenas superiores a cuarenta y cinco años (conforme a los cálculos realizados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2011 la Sala Segunda de este Tribunal acordó la admisión a trámite de la demanda de amparo y, a tenor de lo dispuesto en el art. 51 de la Ley Orgánica del Tribunal Constitucional (LOTC), requerir atentamente a la Sección Tercera de la Sala de lo Penal de la Audiencia Nacional para que en el plazo de diez días remitiera testimonio de las ejecutorias referidas ut supra,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Segunda de 14 de junio de 2011 se tuvo por personada y parte en el procedimiento a la Procuradora doña María Esperanza Álvaro Mateo en nombre y representación de la Asociación de Víctimas del Terrorismo, y asimismo se procedió, conforme a lo establecido en el art. 52.1 LOTC, a dar vista de las actuaciones por plazo común de veinte días al Ministerio Fiscal y a las partes personadas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Asociación de Víctimas del Terrorismo presentó su escrito de alegaciones en este Tribunal el 15 de julio de 2011, oponiéndose a todos los motivos de amparo en el mismo orden que los expuso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primer término, que la acumulación de penas acordada en el Auto de 6 de mayo de 2009 fue a instancia del recurrente, formulada por él cuando ya era de público conocimiento que la Sala de lo Penal del Tribunal Supremo en su Sentencia núm. 197/2006, de 28 de febrero, había fijado un nuevo criterio sobre la aplicación de los beneficios penitenciarios, de modo que no se puede decir que no haya podido alegar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también que las resoluciones impugnadas, aun cuando interpretan los criterios para liquidar los beneficios penitenciarios de un modo menos favorable al recurrente que antes de la citada STS 197/2006, lo hacen “respetando en todo momento el derecho del penado establecido en el Código Penal a que dicho límite [el límite de 30 años de estancia en prisión] no sea superado. De esta manera las resoluciones recurridas son ajustadas a derecho y respetuosas con los principios de legalidad penal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incide en que “los autos recurridos no modifican en ningún momento el límite máximo de cumplimiento de prisión fijado en treinta años ni anula las redenciones que han sido aprobadas por los Juzgados de Vigilancia Penitenciaria, simplemente determina la forma en la que dichas redenciones deben de ser aplicadas sin contradecir resoluciones judiciales firmes. Asimismo ocurre con las sentencias por las que fue condenado el Sr. Jorge González… Dichas sentencias hablan del límite máximo de estancia en prisión del Sr. Jorge González que en ningún caso deberá exceder los treinta años, sin hablar en ningún momento de la forma en que deben de ser aplicados los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nos encontramos, sigue diciendo, “ante la aplicación con carácter retroactivo de una norma penal desfavorable, nos encontramos en todo caso ante un cambio jurisprudencial que afecta no a la aplicación de un precepto legal sino a la interpretación sobre la aplicación que debe de hacerse de los beneficios penitenciarios”.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opone a que se haya vulnerado el derecho a la igualdad ante la ley, pues “la interpretación llevada a cabo por el tribunal Supremo en su sentencia nº 197/2006 no es una interpretación ni arbitraria, ni irrazonable ni ilógica y ha sido dictada en el ejercicio de la función jurisdiccional que le corresponde sobre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fundar su oposición al motivo sexto de amparo se remite a lo argumentado en las consideraciones tercera y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por lo que hace a la alegada lesión del art. 25.2 CE, arguye que “la reinserción no es el fin único de la pena sino que debe de ser armonizado junto con otros fines como pueden ser el de protección social”. Además, si bien “es cierto que los beneficios penitenciarios están orientados a una finalidad resocializadora del interno … esa finalidad es orientativa de la forma de ejecutar la condena, no de su extensión. Ésta, la extensión de la condena, está sometida a la prohibición de tratos inhumanos o degradantes, como sería el caso de la cadena perpetua no revisable.”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en este Tribunal el 18 de julio de 2011, en el que ratifica las formuladas en la demanda de amparo, las cuales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en este Tribunal su escrito de alegaciones el 19 de julio de 2011, interesando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sosteniendo que el primero de los motivos de amparo recogidos en la demanda carece manifiestamente de fundamento “desde el mismo momento en que, por dos ocasiones, la representación del actor ha hecho uso efectivo de este derecho a ser oído, en primer lugar, cuando interpuso recurso de súplica contra el auto de 6 de mayo de 2009” y posteriormente cuando recurrió en casación el Auto de 29 de junio de 2009, formulando en ambas ocasiones las alegaciones que tuvo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por razones sistemáticas procede abordar el resto de motivos de modo distinto al propuesto en la demanda de amparo. Es por ello que empieza por el examen del séptimo y último motivo expuesto, relativo a la vulneración del principio de legalidad penal (art. 25.2 CE) en el enunciado relativo al carácter rehabilitador y de reinserción social que deben tener las penas señaladas en el Código Penal. En opinión del Ministerio Fiscal este motivo debe ser rechazado a limine porque el art. 25.2 CE no contiene un derecho fundamental del ciudadano susceptible de ser invocado en amparo, sino más bien un mandato destinado al legislador para orientar la política penal y penitenciaria. Además, la queja del recurrente no se centra en el contenido de los preceptos legales o reglamentarios, sino en la interpretación que de los mismos realiza la Audiencia Nacional, por lo que este motivo de amparo carece de autonomía y debe vincularse a otras infracciones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 el Ministerio Fiscal que los motivos segundo y cuarto tengan suficiente eficacia suasoria. De un lado, “no parece que en el caso de autos, y a los efectos de una posible vulneración del principio de legalidad (art. 25.1) la interpretación que las resoluciones judiciales ahora recurridas en amparo hacen del art. 70.2 CP 1973 en exégesis derivada de la STS (Pleno de la Sala 2ª TS) 197/2006, de 28 de febrero, se base en una subsunción ajena al significado posible de los términos de la norma aplicada o se base en una argumentación ilógica o indiscutiblemente extravagante o ajena a los criterios que informan nuestro ordenamiento constitucional o conduzcan a soluciones esencialmente contrarias u opuestas a la orientación material de la norma y por ello imprevisible para sus destinatarios (por todas, SSTC 151/2005, de 6 de junio y 283/2006, de 9 de octubre), sin que corresponda por ende al Tribunal Constitucional dilucidar, como acontece en el caso de autos, cuál de las posibles interpretaciones o criterios jurisprudenciales es el más adecuado a la norma en juego”. De otro, “no tiene fundamento alguno sostener que se han vulnerado dicho principio de irretroactividad de la ley penal por haber hecho aplicación del contenido del art. 78 CP1995 bajo el ropaje aparente del art. 70.2 CP1973, toda vez que el precepto que se ha aplicado ha sido siempre el art. 70.2 CP1973, de vigencia al tiempo de comisión de los hechos, y sobre el que ha recaído la interpretación sentada en la Sentencia de la Sala de lo Penal del Tribunal Supremo núm. 197/2006, de 20 de febrero, y no el art. 78 CP1995”.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denunciada vulneración del derecho a la igualdad en la aplicación de la ley (art. 14 CE). En primer lugar, porque el órgano judicial que ha dictado las resoluciones impugnadas (la Audiencia Nacional) es distinto de aquel que sentó la doctrina supuestamente discriminatoria (el Tribunal Supremo). Y, en segundo lugar, porque en todo caso la Sentencia de la Sala Segunda del Tribunal Supremo a la que se atribuye el cambio de criterio había recogido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conjuntamente a los derechos fundamentales alegados en los motivos tercero y sexto. Afirma que “es evidente que el núcleo del problema reside en que la Sección 3ª de la Sala de lo Penal de la Audiencia Nacional asume en las resoluciones objeto de la demanda de amparo los criterios expresados por la Sala Segunda del Tribunal Supremo en su sentencia del Pleno, STS 197/2006, de 28 de febrero”. Y acto seguido que “en el presente caso no puede hablarse, a diferencia de otros similares, de la posibilidad de sustentar el amparo en la vulneración del derecho fundamental a la intangibilidad de las resoluciones judiciales (art. 24.1 CE). Ello es así por cuanto en el caso que examinamos no ha existido resolución alguna previa que determinara, vía refundición o acumulación de condenas, no sólo el tiempo máximo de cumplimiento de conformidad con la regla 2 del art. 70 del CP 1973, sino los extremos de cómputo de los beneficios de redención de penas por el trabajo que le correspondiera por cada condena impuesta. Muy al contrario el actual demandante de amparo que fue condenado en dos sentencias, de 14 de mayo de 1998 y 3 de diciembre de 2001, en dos causas diferentes, ambas por la Sección 3ª de la Sala de lo Penal de la Audiencia Nacional, a diversas penas privativas de libertad, sólo interesó la refundición y la fijación de un tiempo máximo de cumplimiento de tales penas a la luz del art. 70.2 CP 1973 en un escrito manuscrito de fecha 3 de febrero de 2009 que desencadenó las resoluciones judiciales que ahora se impugnan en amparo. Hasta ese momento sólo se habían practicado sendas liquidaciones individualizadas de condena tanto por la Secretaría de la Sala y por el Centro Penitenciario de Algeciras en el que se encontraba interno el reo. Así y tras rectificar un error el CP aludido estableció el 9 de enero de 2002 (rectius 2003) la fecha de licenciamiento definitivo de aquél en una de las causas fijándola en el 1 de enero de 2049”.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propuesta de la Sala Segunda, el Pleno, en su reunión de 13 de septiembre de 2011 y conforme al art. 10.1 n) LOTC,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presentó en este Tribunal escrito de fecha 5 de diciembre de 2011 solicitando la suspensión de los efectos de la aplicación de la Sentencia del Tribunal Supremo 197/2006, de 28 de febrero, pues a su juicio está produciendo tal perjuicio al recurrente que hace perder al amparo su finalidad. El Pleno, mediante providencia de 20 de diciembre de 2011, acordó que “no ha lugar a lo solicitado en el mismo, toda vez que la suspensión interesada se refiere a una resolución judicial (STS 197/2006, de 28 de febrero) no recurrida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marzo de 2012,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21 de enero de 2010 de la Sala Segunda del Tribunal Supremo que inadmitió el recurso de casación contra el Auto de 29 de junio de 2009 de la Sección Tercera de la Sala de lo Penal de la Audiencia Nacional, que a su vez desestimó el recurso de súplica presentado contra el Auto de 6 de mayo de 2009, por el que se acordó que las penas acumuladas impuestas al demandante se cumplieran sucesivamente con la limitación del máximo de cumplimiento de treinta años de prisión, sin perjuicio de las redenciones que le pudieran ser aplicadas en su día, conforme al criterio de la Sentencia núm. 197/2006, de 28 de febrero, de la Sala Segunda del Tribunal Supremo. Según dicha Sentencia, en caso de penas acumuladas la redención de penas por el trabajo obtenida ha de computarse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de las infracciones y sanciones (art. 25.1 y 25.2 CE), a la libertad personal (art. 17.1 CE) y a la igualdad en la aplicación de la ley (art. 14 CE), con los argumentos que han sido expuestos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desestimación del recurso por las razones reseñadas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representación procesal de la Asociación de Víctimas del Terrorismo solicita la desestimación del recurso con arreglo a las alegaciones relacionadas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primera de las quejas articuladas en la demanda, bajo la invocación de los derechos a la tutela judicial efectiva (art. 24.1 CE) y a un proceso con todas las garantías (art. 24.2 CE), se denuncia sustancialmente la indefensión generada por el hecho de que la primera de las resoluciones recurridas se adoptó sin abrir un trámite de audiencia al condenado, pese a introducir una perspectiva jurídica novedosa en el cómputo de las redenciones de penas por el trabajo que empeoraba la situación del reo. Esta queja ha de ser inadmitida, al concurrir respecto de ella el óbice procesal de falta de invocación ante los órganos de la jurisdicción ordinaria [art. 44.1 c) de la Ley Orgánica del Tribunal Constitucional]. En efecto, de la mera lectura del recurso de súplica interpuesto contra el Auto de 6 de mayo de 2009 de la Sección Tercera de la Sala de lo Penal de la Audiencia Nacional se desprende que el recurrente articuló una serie de motivos de recurso para oponerse a esa nueva perspectiva jurídica en el cómputo de las redenciones (lo que excluiría según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restantes motivos se denuncia —como ya anticipamos—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usado hasta ese momento el recurrente vería que las reducciones correspondientes al trabajo de los catorce años que van desde que entró en prisión preventiva hasta el Auto de 6 de mayo de 2009 se aplicarían al límite máximo de treinta años, en aplicación del nuevo criterio se restarían de la suma total de las penas impuestas (cincuenta y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de ello se deriva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 No obstante, con carácter previo, conviene aclarar que no es objeto del presente recurso de amparo la Sentencia 197/2006, de 28 de febrero, dictada por la Sala Segunda del Tribunal Supremo, sino que nuestro examen se ha de limitar a la consideración de la respuesta judicial que para el caso concreto se contiene en las resoluciones recurridas, en las que se acuerda la aplicación del criterio de cómputo de las redenciones establecido con carácter previo por la citada STS 197/2006.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 Reino Unido, núm. 11653/1985, Decisión de la Comisión de 3 marzo 1986, Decisiones e informes [DR] 46, págs. 231, 242, en materia de libertad condicional. Y más recientemente la STEDH de 15 de diciembre de 2009,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Dado que en el presente procedimiento no se impugna la Sentencia del Tribunal Supremo de 28 de febrero de 2006 no cabe entrar a examinar si ésta se ha apartado o no de sus precedentes vulnerando el art. 14 CE. Y por lo que respecta a las resoluciones impugnadas se limitan a aplicar la doctrina sentada en aquella Sentencia del Tribunal Supremo, máximo intérprete de la ley, justificando el cambio de criterio en el cómputo de las redenciones de penas por el trabajo, frente a otros supuestos resueltos con anterioridad, precisamente en la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de la Audiencia Nacional que se impugnan en el presente procedimiento de amparo vulneró su derecho a la tutela judicial efectiva (art. 24.1 CE) y como consecuencia de ello su derecho a la libertad (art. 17.1 CE), lo que —según se argumenta en los motivos de amparo tercero y sexto, fundamentalmente— habría sucedido al aplicar un nuevo criterio de cómputo de la redención de penas por el trabajo que ignora la existencia de una legítima expectativa, fundada en la previa actuación de la Administración penitenciaria y en resoluciones judiciales firmes e intangibles, de que las reducciones correspondientes al trabajo de los catorce años que van desde que entró en prisión preventiva hasta el Auto de 6 de mayo de 2009 se aplicarían al límite máximo de treinta años y no a la suma total de las penas impuestas (cincuenta y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relevantes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respuesta a la anterior cuestión ha de ser negativa pues, como veremos, el análisis del extracto de la primera Sentencia condenatoria alegado por el recurrente y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González Endemaño fue condenado en julio de 1998 en calidad de autor de los delitos de atentado en relación con el de asesinato, de asesinato frustrado y de tenencia ilícita de armas a las penas de treinta, veinte y tres años de prisión, respectivamente. En el fundamento de Derecho primero de esa Sentencia se afirmó que la legislación más favorable es la del Código penal de 1973 porque “imponiendo penas muy similares al del actualmente vigente, sin embargo permite una reducción muy sensible de las mismas por medio de las reducciones ordinarias y extraordinarias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 condenado también en diciembre de 2001 como autor de los delitos de integración en banda armada, de depósito de armas y de tenencia de explosivos a la penas de diez, siete y siete años de prisión,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Juez de vigilancia penitenciaria núm. 1 de Andalucía aprobó periódicamente las propuestas de redención de los centros penitenciarios, entre ellos el auto de liquidación de condena alegado por el recurrente de 8 de noviembre de 2001, en el que se aprueba una propuesta de redención de penas por el trabajo, sin indicar si esa reducción se aplicará al límite de cumplimiento o a cada una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Tercera de la Sala de lo Penal de la Audiencia Nacional, en tiempo en que aún no se había acordado la acumulación de las penas impuestas en las dos Sentencias, y dado que las de la primera condena terminarían de cumplirse el 8 de enero de 2025, aprueba liquidación de condena de fecha 10 de diciembre de 2002 en la que se indica que el cumplimiento de las impuestas por la segunda Sentencia se producirá el 1 de enero de 2049.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recibido el 11 de febrero de 2009 el interno don Jorge González Endemaño interesa de la Sala la acumulación de las penas impuestas en ambas Sentencias y la determinación del límite máximo de treinta años de cumplimiento. La Sala de lo Penal de la Audiencia Nacional, Sección Tercera, acordó por Auto de 6 de mayo de 2009 “[a]cumular todas las penas de prisión impuestas en las Sentencias dictadas por esta Sección Tercera nº 31/98, de 14 de julio (Ejec. 27/01), y nº 29/01, de 3 de diciembre (Ejec. 30/02), relacionadas en los antecedentes de esta resolución para su cumplimiento sucesivo por el penado, con la limitación del máximo de cumplimiento de treinta años de prisión y con sujeción a lo expresado en el precedente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ninguna de las resoluciones judiciales a las que se refiere el recurrente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extracto del fundamento de derecho primero de la Sentencia de 14 julio de 1998 adviértase que, además que se pronuncia sobre la existencia de reducciones ordinarias y extraordinarias en el Código penal de 1973 pero no sobre el modo de realizar su cómputo, lo que resulta determinante es que ese pronunciamiento se realiza en un momento en que no sólo no se han acumulado las penas de la primera y segunda condena sino, aún más, dicha segunda condena ni siquiera ha recaído. En ese contexto no es posible sostener que allí se esté estableciendo, con los efectos de firmeza e intangibilidad consiguientes, el criterio de cómputo de las redenciones de pena que el recurrente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El Auto de 6 de mayo de 2009 que acordó la acumulación de las penas impuestas por ambas Sentencias y que se cumplieran conforme al criterio de cómputo fijado por la STS 197/2006 (y las resoluciones judiciales que lo ratificaron) no dejó sin efecto dichas redenciones sino que, en ejercicio de las competencias que legalmente tiene atribuidas, las computó sucesivamente sobre el conjunto de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Jorge González Endemaño.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2516-2010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10718-2006.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