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3027-2007, promovido por don Manuel Lorenzo Vázquez, representado por la Procuradora de los Tribunales doña María Luisa Bermejo García y asistido por el Letrado don Jose María Martin Bermejo, contra el Auto de la Sala de lo Penal del Tribunal Supremo dictado el 1 de febrero de 2007, que declaró no haber lugar al recurso de casación interpuesto contra el Auto de la Sección Tercera de la Audiencia Provincial de Pontevedra, de 24 de abril de 2006, y contra este último. Ha intervenido el Ministerio Fiscal.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 de abril de 2007, doña María Luisa Bermejo García, Procuradora de los Tribunales, en nombre y representación de don Manuel Lorenzo Vázquez,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Sentencia de 24 de junio de 1996, dictada por la Sección Tercera de la Audiencia Provincial de Pontevedra, como autor de seis delitos de detención ilegal, un delito de robo con homicidio, tres delitos de asesinato, dos delitos de homicidio en grado de tentativa y un delito de utilización ilegítima de vehículo de motor ajeno, a las siguientes penas: por cada uno de los seis delitos de detención ilegal, doce años y un día de reclusión menor; por el delito de robo con homicidio, treinta años de reclusión mayor; por cada uno de los tres delitos de asesinato, treinta años de reclusión mayor; por cada uno de los dos delitos de homicidio en grado de tentativa, diez años de prisión mayor; y por el delito de utilización ilegítima de vehículo a motor ajeno cinco meses de arresto mayor. En la Sentencia se acordó también “[y] en cuanto a las penas impuestas, con la limitación de la regla 2ª del art. 70 del Código Penal”. Por Auto de la misma Sección de 1 de abril de 1998 se declaró firme y ejecutoria la anterior Sentencia. El Secretario Judicial efectuó el 14 de mayo de 1998 la liquidación provisional de la condena, según la cual las penas impuestas quedarían extinguidas el 24 de enero del 2024. El Ministerio Fiscal mostró su conformidad con la indicada liquidación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Director del centro penitenciario Madrid II, donde el penado extinguía su condena, remitió al Tribunal sentenciador un oficio de fecha 8 de marzo de 2006 en el que informaba a la Sala sobre la situación penal y penitenciaria del interno señor Lorenzo Vázquez, al tiempo que interesaba “conocer si los beneficios penitenciarios (redenciones) siguen aplicándose sobre el límite establecido en la Sentencia de 30 años o, por el contrario, si dichos beneficios se computan sobre el total de las penas impuestas (212 años, 5 meses y un día), tal como se indica en dicha Sentencia [197/2006 del Tribunal Supremo]”. Por providencia de 10 de marzo de 2006, dictada por la misma Sección, se dio traslado a las partes y al Ministerio Fiscal del oficio remitido por 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consideró aplicable la STS 197/2006, de 28 de febrero. En el mismo sentido se pronunció la representación procesal de la acusación particular. El demandante manifestó que las redenciones debían ser computadas sobre el límite de treinta años que se fijó en la Sentencia. Por Auto de 24 de abril de 2006, el Tribunal sentenciador, aplicando la STS 197/2006 estableció que el máximo de cumplimiento de la pena impuesta a don Manuel Lorenzo Vázquez era de treinta años “pero computándose los beneficios penitenciarios respecto a cada una de las penas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dicho Auto la representación procesal del demandante preparó e interpuso el recurso de casación anunciado, denunciando la aplicación indebida o incorrecta de los arts. 70 y 100 del Código penal de 1973 (en adelante CP 1973). El recurso de casación fue desestimado por Auto de 1 de febrero de 2007, tras entender la Sala que carecía manifiestamente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como vulnerados en su demanda de amparo el derecho a obtener de Jueces y Tribunales la tutela judicial efectiva (art. 24 CE), el derecho a la igualdad (art. 14 CE), el derecho a la legalidad de las infracciones y sanciones (art. 25.1 CE) y el derecho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se ha vulnerado su derecho a obtener tutela judicial efectiva al quebrantar el principio de legalidad penal como consecuencia de una aplicación retroactiva de la novedosa línea interpretativa efectuada, en contra del reo, por la STS 197/2006. Entiende que dicha doctrina no es aplicable a quienes se encontraban cumpliendo condenas refundidas en el momento en que fue dictada. Añade que no cabe revisar decisiones judiciales firmes en virtud de cambios jurisprudenciales, salvo que sean más beneficiosos para el condenado, lo que no sucede en el presente caso. Indica que la Sentencia citada aplica tácita y retroactivamente en perjuicio del reo el art. 78 CP en su actual redacción, dada por la Ley Orgánica 7/2003. Sostiene, que en la práctica se da la paradoja de que penados a los que se ha fijado en treinta años de privación de libertad el mismo límite de cumplimiento máximo de sus penas, las ven extinguidas tras veinte años de cumplimiento efectivo —o menos si tienen redenciones extraordinarias—, frente a otros internos, en idéntica situación, que necesitarán treinta años de cumplimiento efectivo para alcanzar y obtener el licenciamiento definitivo, lo que vulneraría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afirma que la vulneración del derecho a la tutela judicial efectiva ha ocasionado también la lesión de su derecho a la libertad personal (art. 17 CE). Tras reproducir parcialmente la STC 108/2001, de 23 de abril, considera que las redenciones deben considerarse tiempo de cumplimiento efectivo, según el tenor literal del art. 100 CP 1973, siendo unánimemente aceptada dicha equiparación, aplicada e incuestionada por la Administración penitenciaria así como por los órganos judiciales. Indica que lo contrario sería negar eficacia práctica a las redenciones obtenidas por el trabajo. Entiende que las redenciones ya aprobadas por el Juez de vigilancia penitenciaria también son tiempo de cumplimiento efectivo, en tanto que el art. 70.2 CP 1973 no distingue entre cumplimiento efectivo y cumplimiento redimido a la hora de alcanzar el límite máximo de cumplimiento. Entiende que la motivación de los Autos impugnados es errónea y desacertada, y prolonga el tiempo de cumplimiento de la pena vulnerando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2007, la Sala Primera de este Tribunal acordó la admisión a trámite de la demanda así como, a tenor de lo establecido en el art. 51 de la Ley Orgánica del Tribunal Constitucional (LOTC), requerir a la Sala de lo Penal del Tribunal Supremo y a la Sección Tercera de la Audiencia Provincial de Pontevedra, para que remitieran respectivamente certificación o fotocopia adverada de las actuaciones correspondientes al recurso de casación y la ejecutoria. Al mismo tiempo interesó que se emplazara a quienes fueron parte en el procedimiento, a excepción del demandante de amparo,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que había sido parte en el proceso judicial previo, presentó escrito el 27 de diciembre de 2010 solicitando que se le tuviera por personado en la representación que ostenta. Doña Silvia Barreiro Teijeiro, en representación de don Pedro Fernández Sanromán, mediante escrito presentado el 23 de diciembre de 2010, interesó también que se le tuviera por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del Tribunal Constitucional de 10 de enero de 2011, se acordó dar vista de las actuaciones recibidas al Ministerio Fiscal y a las partes personadas, para que dentro del plazo de veinte días, pudieran presentar las alegaciones que a su derecho convenga, de conformidad con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7 de febrero de 2011 en el que ratifica íntegramente las alegaciones efectuadas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Pedro Fernández Sanromán presentó sus alegaciones en escrito de fecha 11 de febrero de 2011. En él solicita la desestimación de la demanda de amparo al considerar que no había existido modificación alguna de resolución judicial, ni aplicación retroactiva de una norma penal desfavorable, sino la aplicación de un criterio interpretativo del art. 70 CP 1973, en virtud de una decisión fundada, pues lo pretendido por el demandante supondría conceder el mismo trato a quien comete un delito que a quien comete cien.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escrito de alegaciones el 27 de enero de 2011. Las inicia afirmando la existencia de causa de inadmisión del recurso de amparo en virtud de lo dispuesto en el art. 50.1 a) LOTC en relación con el art. 44.1 c) LOTC, por cuanto entiende que el demandante no denunció formalmente, al interponer el recurso de casación, la vulneración de derecho fundamental alguno, sino que planteó su impugnación en clave exclusiva de legalidad ordinaria. Considera que tales preceptos exigen la denuncia formal de la vulneración del derecho fundamental “y no la invocación formal del derecho, tan ‘flexibilizada’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que el demandante no identifica la “decisión judicial firme” que ha sido modificada por las resoluciones recurridas. Entiende que no lo ha podido ser la Sentencia que le condenó, pues en ella se impusieron penas que suman más de doscientos años de privación de libertad, de los que sólo cumplirá, como máximo, treinta, “dejando extinguir” las demás. Con cita de las SSTC 93/2010, 121/2007 y 116/2003 entiende que el fallo de la Sentencia condenatoria de 24 de junio de 1996 no ha sido alterado lo más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irretroactividad está garantizada en el art. 25.1 CE frente a la actividad nomotética del legislador penal, pero no impide que un tipo penal reciba una interpretación menos benigna que aquella que venía practicándose anteriormente, siempre que no sea irrazonable, por imprevisible o incoherente con la sustancia de la infracción. Expone que la interpretación razonada en la STS 197/2006, de 28 de febrero, es más ajustada a la literalidad de los arts. 70.2 y 100 CP 1973, y más conforme con el principio de justicia (art. 1.1 CE). De los arts. 24.1 y 25.1 CE no resulta que los penados ostenten un derecho constitucional a que las normas sobre beneficios penitenciarios se apliquen de la manera que más favorezca a su pronta excarcelación por licenciamiento definitivo, pasando por encima de las más elementales consideraciones de justicia, de respeto a las víctimas, y a sus deudos, y aún de las finalidades de la propia pena: retributiva, preventiva e incluso resocializadora. Entiende, que existiría retroactividad si la variación del cómputo del beneficio de redención de penas por el trabajo se pretendiera aplicar a internos ya licenciados por haber aceptado el Juez o Tribunal de ejecución que habían cumplido su condena. Pero no hay retroactividad si la pena aún se está cumpliendo, pues el distinto modo de aplicar el beneficio penitenciario varía sólo el momento final de cumplimiento penitenciario al que aún no se había llegado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2/2007, 134/2007, 147/2007, 31/2008 y 67/2008, considera que no hay violación de la igualdad aplicativa (art. 14 CE), al no acreditarse ni siquiera mínimamente un término de comparación preciso e individualizado, ni se prueba la identidad de órgano, ni se acredita la ruptura arbitraria con una línea jurisprudencial preexistente, o con un precedente inmediato del mismo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si no ha existido vulneración del derecho a la tutela judicial efectiva, tampoco se ha vulnerado la libertad personal del demandante. Existe título legítimo de privación de libertad, la Sentencia firme, sin que el derecho fundamental a la libertad personal entrañe el derecho a que se computen los beneficios de reducción de penas por el trabajo de manera que faciliten al máximo el licenciamiento del centro penitenciario. Añade que el motivo simplemente deja constancia de una discrepancia de opinión que carece de relevancia jurídica. Por lo expuesto solicita que se dicte Sentencia por la que se inadmita el amparo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día 15 de febrero de 2011. En ellas examina, en primer lugar, la alegada vulneración del derecho a la tutela judicial efectiva (art. 24.1 CE). Considera que el núcleo del problema reside en que ambas resoluciones judiciales recurridas en amparo asumen los criterios expresados por la STS 197/2006, de 28 de febrero. Entiende que la norma no ha variado, tanto si se considera el art. 70.2 CP 1973 o el art. 76.2 CP 1995. Lo que sí ha variado sustancialmente es la aplicación de la norma, lo que ocasiona un evidente perjuicio penológico al demandante de amparo. Debe analizarse, si el evidente perjuicio tiene entidad y encaje en alguno de los derechos fundamentales que se alegan como vulnerados. Indica que el penado venía disfrutando de beneficios penitenciarios de manera diferente a lo exigido por la mencionada Sentencia del Tribunal Supremo, por ello se fijó la fecha del licenciamiento el 24 de enero de 2024. Tras citar la STC 23/2005, de 14 de febrero, indicando que el derecho a la intangibilidad de las resoluciones judiciales firmes se encuentra amparado en el seno del art. 24.1 CE, afirma que dicho derecho fundamental se configura en buena medida como un derecho subjetivo, de quienes han sido parte o lo son en un proceso, a que las resoluciones judiciales firmes no sean modificadas o alteradas fuera de los cauces previstos en la ley (STC 234/2007,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plantearse si la resoluciones judiciales como los Autos, liquidaciones y refundiciones de condena, poseen o no la naturaleza de firmes que implica su intangibilidad, citando a tal efecto la STC 174/89, de 30 de octubre, afirma que el conflicto se plantea en relación a la prevalencia entre la exigencia de mantenimiento de una resolución judicial de refundición de penas y la variación de una interpretación jurisprudencial de su núcleo duro normativo que implica consecuencias retroactivamente perjudiciales para la fecha del licenciamiento definitivo. Sostiene que la ejecución de una Sentencia penal debe obedecer siempre a criterios de estricta legalidad (SSTC 11/1987 y 147/1988), no siendo de recibo que establecidos en una resolución judicial unos criterios de interpretación normativa para fijar la refundición de condena (la liquidación de condena de 14 de mayo de 1998), los mismos puedan variarse en virtud de una resolución posterior, sin vulnerar el derecho a la intangibilidad de las resoluciones judiciales (STC 209/2005,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señalando que dicho derecho tiene engarce con el principio de legalidad (art. 25.1 CE) en relación con la prohibición de retroactividad de las normas penales perjudiciales para el reo (art. 9.3 CE, por todas STC 223/1997 y STEDH Streletz, Kessler y Krenz c. Alemania, de 22 de marzo de 2001), ya que las garantías de legalidad y seguridad jurídica que exigen ambos preceptos constitucionales deben extenderse no sólo al enjuiciamiento del hecho como tipicidad cierta, taxativa y previsible (por todas SSTC 196/2002 y 111/2004), sino que lo es asimismo para con la ejecución de las penas, integrándose la irretroactividad de las normas, y su interpretación, desfavorable al reo en el complejo de legalidad del art. 25.1 CE (STEDH Puhk c. Estonia, de 10 de febrero de 2004). Entiende que las resoluciones recurridas suponen de facto, la creación ex novo de un nuevo marco “paranormativo”, que ha causado una extensión de la fecha de licenciamiento del interno, vulnerando con ello el derecho a la libertad personal del demandante, al ser la fecha prevista de licenciamiento definitivo muy posterior como consecuencia de esa desfavorable interpretación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descarta la vulneración del derecho a la igualdad (art. 14 CE), pues el término de comparación que se ofrece es indeterminado en su formulación, por lo que, en modo alguno cumple con los requisitos que para tal término de comparación a los efectos del derecho fundamental a la igualdad vienen exigiéndose por el Tribunal Constitucional (SSTC 200/2001, 70/2003, 297/2005 y 190/2006). Por otra parte, del Tribunal Constitucional no encontró vulneración del derecho a la igualdad al examinar diferentes criterios en la aplicación de las penas (STC 256/1988).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 la estimación del amparo por vulneración del derecho a la intangibilidad de las resoluciones judiciales (art. 24.1 CE), legalidad penal en relación con la irretroactividad de lo desfavorable para el reo (art. 25.1 CE en relación con el art. 9.3 CE), y el derecho a la libertad personal (art. 17.1 CE), por lo que deben ser anuladas las resoluciones impugnadas ordenando que se pronuncie de nuevo el Tribunal sentenciador sobre la fecha de licenciamiento definitivo del condenado respetando los derechos fundamentales que han sido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21 de junio de 2011, el Pleno acordó recabar para sí, a propuesta de la Sala Primera,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 de febrero de 2007 de la Sala Segunda del Tribunal Supremo que, al apreciar carencia manifiesta de fundamento, inadmitió el recurso de casación presentado contra el anterior Auto de 24 de abril de 2006 de la Audiencia Provincial de Pontevedra que, como Tribunal sentenciador, acordó que la redención de penas por el trabajo que hubiera obtenido o pudiera obtener el demandante durante el cumplimiento de su condena se computara sobre cada una de las penas impuestas, y no sobre el límite máximo de cumplimiento de treinta años de privación de libertad que había sido fijado en la Sentencia condenatoria, de 24 de junio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concurre un óbice procesal que debe llevar a inadmitir el recurso de amparo por cuanto se habrían invocado deficientemente en el recurso de casación los derechos fundamentales ahora alegados. En su opinión, el recurso de casación se planteó exclusivamente en términos de infracción de la legalidad penal [arts. 70.2 y 100 del Código penal (CP) de 1973] no habiendo dado oportunidad a la jurisdicción ordinaria de pronunciarse sobre las quejas que hoy sustentan su pretensión de amparo. Subsidiariamente, para el caso de no apreciarse el óbice procesal reseñado, solicita la desestimación de la demanda, en los términos que han sido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apoya la estimación parcial del recurso presentado por entender que, tal y como se denuncia, la aplicación del nuevo criterio jurisprudencial fijado en la citada Sentencia 197/2006, de 28 de febrero, del Tribunal Supremo, supone la vulneración de los derechos fundamentales consagrados en los arts. 17.1, 24.1 y 25.1 CE, por afectar a situaciones jurídicas ya reconocidas por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actuaciones recabadas del Tribunal sentenciador nos impide apreciar el óbice de procedibilidad aducido por el Abogado del Estado en su escrito de alegaciones, que se basa en la deficiente invocación formal de los derechos fundamentales en el recurso de casación presentado contra la resolución impugnada. Si bien es cierto que la preparación del recurso de casación, y su interposición después, se hizo, fundamentalmente denunciando la infracción de los arts. 70.2 y 100 del Código penal, es posible apreciar de forma suficiente el planteamiento de la cuestión, durante su desarrollo, en términos que permiten preservar la subsidiariedad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la causa de inadmisión prevista en el art. 50.1 a), en relación con el art. 44.1 c), ambos de la Ley Orgánica del Tribunal Constitucional (LOTC), en la redacción anterior a la Ley Orgánica 6/2007, de 24 de mayo, hemos destacado en nuestra jurisprudencia (STC 211/2007, de 8 de octubre, FJ 2) que la razón que sustenta esta exigencia y, con ella, la interpretación teleológica del mencionado requisito que exige “que se haya invocado formalmente en el proceso el derecho constitucional vulnerado, tan pronto como, una vez conocida la violación, hubiere lugar para ello”, estriba en la necesidad de preservar el carácter subsidiario del recurso de amparo constitucional, configurándose como un mecanismo esencial para la articulación entre la jurisdicción ordinaria y la jurisdicción constitucional, por cuanto exige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del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más profundo del requisito exigido por el art. 44.1 c) LOTC —hemos declarado también en la STC 203/1987, de 18 de diciembre—,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resultará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(FJ 2; en igual sentido, SSTC 201/2000, de 24 de julio, FJ 2; 130/2006, de 24 de abril, FJ 4; y 132/2006, de 27 de abril,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cuyo incumplimiento se aduce por el Abogado del Estado como causa de inadmisión de este recurso de amparo incluye una doble exigencia: la invocación formal del derecho constitucional vulnerado y el que esa invocación se produzca “tan pronto como, una vez conocida la violación, hubiere lugar para ello”. La finalidad apuntada de preservar el carácter subsidiario del recurso de amparo ha guiado la interpretación de este requisito y el contenido mínimo del que debe dotarse la invocación para que pueda considerarse cumplido. En tal sentido, el Tribunal ha rechazado una interpretación literal o excesivamente rigorista de este requisito,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Por ello, en numerosas resoluciones, que constituyen un cuerpo jurisprudencial consolidado,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ha de efectuarse, sin embargo,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Así, se ha señalado que lo decisivo es que, a través de las alegaciones que se formulen en la vía judicial, de los términos en que se ha planteado el debate en la vía procesal o de la descripción fáctica o histórica o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examinado el escrito de interposición del recurso de casación de fecha 22 de junio de 2006, es posible apreciar en él que, junto a la denunciada infracción de la ley penal, se argumenta en términos constitucionales, llegando a anticipar que las infracciones denunciadas supondrían las de los derechos a la tutela judicial efectiva por intangibilidad de resoluciones judiciales firmes y a la libertad personal [letra c) del desarrollo del motivo primero del recurso de casación]. Asimismo, al resolver el recurso de casación, el Auto de inadmisión de 1 de febrero de 2007, en su razonamiento jurídico único [letra b)] niega que las infracciones denunciadas supongan quiebra alguna del derecho a la igualdad en la aplicación de la ley o del derecho a la legalidad sancionadora (art. 25.1 CE) por aplicación retroactiva de normas penales desfavorables.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forma descrita en que se ha realizado en este caso la invocación en el recurso de casación de los derechos fundamentales supuestamente vulnerados ha de estimarse, de acuerdo con la doctrina constitucional de la que se ha dejado constancia, como suficiente para dar por satisfecho el requisito procesal que se alega como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quedó reflejado en los antecedentes, el demandante denuncia la supuesta vulneración de los principios de igualdad en la aplicación de la ley (art. 14 CE) y de legalidad penal —desde la doble perspectiva de la ilegitimidad del nuevo criterio interpretativo y la aplicación retroactiva de una ley desfavorable (art. 25.1 CE)—, ambos puestos en relación con su derecho a la tutela judicial efectiva (pues considera irrazonable la interpretación judicial) y el derecho a la libertad personal (art. 17.1 CE), que se habría visto ilegítimamente afectada al tratarse del cumplimiento de una pena privativa de libertad. Se denuncia así, desde diversas perspectivas constitucionales, la cuestión de fondo; esto es, la aplicación a las condenas privativas de libertad que extingue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prevén dichos preceptos del Código penal, un límite máximo de cumplimiento; en este caso de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cuya estimación parcial propone el Ministerio Fiscal en su escrito de alegaciones, no pueden ser compartidas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pese a la reiteración con que se alega,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tiempo máximo de cumplimiento legalmente previsto (en este caso,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puedan afectar al derecho a la libertad personal si se actúa al margen de lo previsto en la ley. En este sentido se pronuncia la STEDH de 10 de julio de 2003, Grava c. Italia, § 51, en un supuesto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el art. 988 de la Ley de enjuiciamiento criminal.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cambios de criterio jurisprudencial y su conformidad con la Constitución pueden, sin embargo, ser cuestionados desde otras perspectivas. Una de ellas, alegada en la demanda de amparo, tiene que ver con el contenido del derecho a la igualdad en la aplicación de la ley (art. 14.1 CE). Pero tampoco desde esta perspectiva puede apreciarse en el presente caso la vulneración denunciada. Como señala el Ministerio Fiscal, las resoluciones impugnadas, dictadas por la Audiencia Provincial de Pontevedra, se limitan a aplicar la doctrina sentada por otro órgano judicial, el Tribunal Supremo, máximo intérprete de la ley, que justificó razonadamente el cambio de criterio sobre la forma de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 A lo que hay que añadir que, para hacer el juicio de igualdad, no es válido el término de comparación postulado en la demanda según el cual “la nueva interpretación va a dar lugar a trato diferencial de situaciones penitenciarias equivalentes”, dado su carácter general y abstracto, sin referencia concreta al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las razones expuestas,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se denuncia también, invocando el derecho a la intangibilidad de las resoluciones judiciales firmes, que la aplicación de la nueva interpretación jurisprudencial que cuestiona, sobre la forma de cómputo de la redención de penas por el trabajo, le genera una situación de indefensión e inseguridad jurídica que vulnera su derecho a la tutela judicial efectiva (art. 24.1 CE). Sin referencia exacta a ninguna resolución judicial concreta anterior, aduce que la doctrina que le ha sido aplicada modifica la interpretación que hasta entonces se venía haciendo y los derechos que de la misma derivaban.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(la liquidación de condena de 14 de mayo de 1998) y establecidos ellos en resolución judicial, pudieran variarse en virtud de una posterior resolución”, en este caso de la Sala Segunda del Tribunal Supremo, que interpreta de otra manera las normas atinentes, como lo hacen las resoluciones judiciales ahora recurridas en amparo. La resolución judicial firme en la que considera el Fiscal que dichos criterios quedaron establecidos de forma intangible sería por tanto la liquidación provisional de condena de 14 de mayo de 1998, practicada por el Secretario Judicial del Tribunal sentenciador en la que se establecía la pena impuesta, los días de detención y prisión preventiva abonable y los días que le quedaban por cumplir al penado hasta llegar a los treinta años de límite máximo de cumplimiento fijados en la Sentencia condenatoria, cálculo éste que llevó a estimar que la pena quedaría extinguida el 24 de enero del año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a la anterior cuestión ha de ser negativa pues, como veremos, el análisis de las resoluciones judiciales adoptadas por el Tribunal sentenciador en el proceso de ejecución de las penas privativas de libertad impuestas al demandante muestra que, antes de dictar la resolución cuestionada en amparo, no había realizado el Tribunal sentenciador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Lorenzo Vázquez fue condenado en junio de 1996 a penas que suman doscientos doce años, cinco meses y un día de privación de libertad, tras ser considerado autor un delito de robo con homicidio, tres delitos de asesinato, dos delitos intentados de homicidio, seis delitos de detención ilegal y un delito de utilización ilegítima de vehículos de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propia Sentencia condenatoria, en aplicación de los previstos en el art. 70.2 CP 1973, vigente en el momento de cometer los hechos enjuiciados, se procedió a fijar en treinta años el límite máximo de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firme la condena, tras ser desestimado el recurso de casación que fue presentado, el Secretario Judicial de la Sala practicó el 14 de mayo de 1998 la liquidación provisional de la condena impuesta al demandante, según la cual, una vez descontado el tiempo que permaneció detenido y en prisión preventiva por dicha causa, el demandante extinguiría sus condenas el día 24 de enero de 2024, es decir, tras treinta años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hay ninguna otra resolución judicial relevante del Tribunal sentenciador en la ejecutoria hasta que, mediante el Auto de 24 de abril de 2006, respondiendo a una consulta del centro penitenciario, la Sala acordó que en el cumplimiento de dicha pena, las redenciones se computarían conforme al criterio fijado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lo hacen las resoluciones del Juzgado de Vigilancia Penitenciaria en las que se reconoció al penado determinados días de redención de pena por el trabajo u otras actividades realizadas, pues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El Auto que acordó aplicar como criterio de cómputo el de la STS 197/2006 no dejó sin efecto dichas redenciones sino que, en ejercicio de las competencias que legalmente tiene atribuidas el Tribunal sentenciador, ordenó computarlas sucesivamente sobre las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producir intangibilidad alguna la liquidación provisional de condena de 14 de mayo de 1998, practicada por el Secretario Judicial del Tribunal sentenciador, en la que se establecía la pena impuesta, su límite máximo de cumplimiento, los días de detención y prisión preventiva abonable y los días que le quedaban por cumplir hasta llegar a los treinta años de límite máximo de cumplimiento fijados en la Sentencia condenatoria, la cual cita el Ministerio Fiscal como resolución intangible que ha sido ilegítimamente desconocida. No sólo porque no se trata de una resolución judicial, sino porque en la misma, adoptada con carácter provisional al inicio del cumplimiento de la pena, no existe referencia alguna a la redención de penas por el trabajo o al criterio de cómputo de la misma, ni puede concluirse que establezca criterio relevante sobre tales cuestiones que pueda haber sido ratificado tácitamente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Lorenzo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3027-2007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 </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