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3027-2007, promovido por don Manuel Lorenzo Vázquez, representado por la Procuradora de los Tribunales doña María Luisa Bermejo García y asistido por el Letrado don Jose María Martin Bermejo, contra el Auto de la Sala de lo Penal del Tribunal Supremo dictado el 1 de febrero de 2007, que declaró no haber lugar al recurso de casación interpuesto contra el Auto de la Sección Tercera de la Audiencia Provincial de Pontevedra, de 24 de abril de 2006, y contra este último. Ha intervenido el Ministerio Fiscal.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 de abril de 2007, doña María Luisa Bermejo García, Procuradora de los Tribunales, en nombre y representación de don Manuel Lorenzo Vázquez,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en Sentencia de 24 de junio de 1996, dictada por la Sección Tercera de la Audiencia Provincial de Pontevedra, como autor de seis delitos de detención ilegal, un delito de robo con homicidio, tres delitos de asesinato, dos delitos de homicidio en grado de tentativa y un delito de utilización ilegítima de vehículo de motor ajeno, a las siguientes penas: por cada uno de los seis delitos de detención ilegal, doce años y un día de reclusión menor; por el delito de robo con homicidio, treinta años de reclusión mayor; por cada uno de los tres delitos de asesinato, treinta años de reclusión mayor; por cada uno de los dos delitos de homicidio en grado de tentativa, diez años de prisión mayor; y por el delito de utilización ilegítima de vehículo a motor ajeno cinco meses de arresto mayor. En la Sentencia se acordó también “[y] en cuanto a las penas impuestas, con la limitación de la regla 2ª del art. 70 del Código Penal”. Por Auto de la misma Sección de 1 de abril de 1998 se declaró firme y ejecutoria la anterior Sentencia. El Secretario Judicial efectuó el 14 de mayo de 1998 la liquidación provisional de la condena, según la cual las penas impuestas quedarían extinguidas el 24 de enero del 2024. El Ministerio Fiscal mostró su conformidad con la indicada liquidación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Director del centro penitenciario Madrid II, donde el penado extinguía su condena, remitió al Tribunal sentenciador un oficio de fecha 8 de marzo de 2006 en el que informaba a la Sala sobre la situación penal y penitenciaria del interno señor Lorenzo Vázquez, al tiempo que interesaba “conocer si los beneficios penitenciarios (redenciones) siguen aplicándose sobre el límite establecido en la Sentencia de 30 años o, por el contrario, si dichos beneficios se computan sobre el total de las penas impuestas (212 años, 5 meses y un día), tal como se indica en dicha Sentencia [197/2006 del Tribunal Supremo]”. Por providencia de 10 de marzo de 2006, dictada por la misma Sección, se dio traslado a las partes y al Ministerio Fiscal del oficio remitido por 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Fiscal consideró aplicable la STS 197/2006, de 28 de febrero. En el mismo sentido se pronunció la representación procesal de la acusación particular. El demandante manifestó que las redenciones debían ser computadas sobre el límite de treinta años que se fijó en la Sentencia. Por Auto de 24 de abril de 2006, el Tribunal sentenciador, aplicando la STS 197/2006 estableció que el máximo de cumplimiento de la pena impuesta a don Manuel Lorenzo Vázquez era de treinta años “pero computándose los beneficios penitenciarios respecto a cada una de las penas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dicho Auto la representación procesal del demandante preparó e interpuso el recurso de casación anunciado, denunciando la aplicación indebida o incorrecta de los arts. 70 y 100 del Código penal de 1973 (en adelante CP 1973). El recurso de casación fue desestimado por Auto de 1 de febrero de 2007, tras entender la Sala que carecía manifiestamente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invoca como vulnerados en su demanda de amparo el derecho a obtener de Jueces y Tribunales la tutela judicial efectiva (art. 24 CE), el derecho a la igualdad (art. 14 CE), el derecho a la legalidad de las infracciones y sanciones (art. 25.1 CE) y el derecho a la libertad personal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se ha vulnerado su derecho a obtener tutela judicial efectiva al quebrantar el principio de legalidad penal como consecuencia de una aplicación retroactiva de la novedosa línea interpretativa efectuada, en contra del reo, por la STS 197/2006. Entiende que dicha doctrina no es aplicable a quienes se encontraban cumpliendo condenas refundidas en el momento en que fue dictada. Añade que no cabe revisar decisiones judiciales firmes en virtud de cambios jurisprudenciales, salvo que sean más beneficiosos para el condenado, lo que no sucede en el presente caso. Indica que la Sentencia citada aplica tácita y retroactivamente en perjuicio del reo el art. 78 CP en su actual redacción, dada por la Ley Orgánica 7/2003. Sostiene, que en la práctica se da la paradoja de que penados a los que se ha fijado en treinta años de privación de libertad el mismo límite de cumplimiento máximo de sus penas, las ven extinguidas tras veinte años de cumplimiento efectivo —o menos si tienen redenciones extraordinarias—, frente a otros internos, en idéntica situación, que necesitarán treinta años de cumplimiento efectivo para alcanzar y obtener el licenciamiento definitivo, lo que vulneraría su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afirma que la vulneración del derecho a la tutela judicial efectiva ha ocasionado también la lesión de su derecho a la libertad personal (art. 17 CE). Tras reproducir parcialmente la STC 108/2001, de 23 de abril, considera que las redenciones deben considerarse tiempo de cumplimiento efectivo, según el tenor literal del art. 100 CP 1973, siendo unánimemente aceptada dicha equiparación, aplicada e incuestionada por la Administración penitenciaria así como por los órganos judiciales. Indica que lo contrario sería negar eficacia práctica a las redenciones obtenidas por el trabajo. Entiende que las redenciones ya aprobadas por el Juez de vigilancia penitenciaria también son tiempo de cumplimiento efectivo, en tanto que el art. 70.2 CP 1973 no distingue entre cumplimiento efectivo y cumplimiento redimido a la hora de alcanzar el límite máximo de cumplimiento. Entiende que la motivación de los Autos impugnados es errónea y desacertada, y prolonga el tiempo de cumplimiento de la pena vulnerando su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2007, la Sala Primera de este Tribunal acordó la admisión a trámite de la demanda así como, a tenor de lo establecido en el art. 51 de la Ley Orgánica del Tribunal Constitucional (LOTC), requerir a la Sala de lo Penal del Tribunal Supremo y a la Sección Tercera de la Audiencia Provincial de Pontevedra, para que remitieran respectivamente certificación o fotocopia adverada de las actuaciones correspondientes al recurso de casación y la ejecutoria. Al mismo tiempo interesó que se emplazara a quienes fueron parte en el procedimiento, a excepción del demandante de amparo,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que había sido parte en el proceso judicial previo, presentó escrito el 27 de diciembre de 2010 solicitando que se le tuviera por personado en la representación que ostenta. Doña Silvia Barreiro Teijeiro, en representación de don Pedro Fernández Sanromán, mediante escrito presentado el 23 de diciembre de 2010, interesó también que se le tuviera por personada.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del Tribunal Constitucional de 10 de enero de 2011, se acordó dar vista de las actuaciones recibidas al Ministerio Fiscal y a las partes personadas, para que dentro del plazo de veinte días, pudieran presentar las alegaciones que a su derecho convenga, de conformidad con lo dispuesto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7 de febrero de 2011 en el que ratifica íntegramente las alegaciones efectuadas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Pedro Fernández Sanromán presentó sus alegaciones en escrito de fecha 11 de febrero de 2011. En él solicita la desestimación de la demanda de amparo al considerar que no había existido modificación alguna de resolución judicial, ni aplicación retroactiva de una norma penal desfavorable, sino la aplicación de un criterio interpretativo del art. 70 CP 1973, en virtud de una decisión fundada, pues lo pretendido por el demandante supondría conceder el mismo trato a quien comete un delito que a quien comete cien.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escrito de alegaciones el 27 de enero de 2011. Las inicia afirmando la existencia de causa de inadmisión del recurso de amparo en virtud de lo dispuesto en el art. 50.1 a) LOTC en relación con el art. 44.1 c) LOTC, por cuanto entiende que el demandante no denunció formalmente, al interponer el recurso de casación, la vulneración de derecho fundamental alguno, sino que planteó su impugnación en clave exclusiva de legalidad ordinaria. Considera que tales preceptos exigen la denuncia formal de la vulneración del derecho fundamental “y no la invocación formal del derecho, tan ‘flexibilizada’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indica que el demandante no identifica la “decisión judicial firme” que ha sido modificada por las resoluciones recurridas. Entiende que no lo ha podido ser la Sentencia que le condenó, pues en ella se impusieron penas que suman más de doscientos años de privación de libertad, de los que sólo cumplirá, como máximo, treinta, “dejando extinguir” las demás. Con cita de las SSTC 93/2010, 121/2007 y 116/2003 entiende que el fallo de la Sentencia condenatoria de 24 de junio de 1996 no ha sido alterado lo más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irretroactividad está garantizada en el art. 25.1 CE frente a la actividad nomotética del legislador penal, pero no impide que un tipo penal reciba una interpretación menos benigna que aquella que venía practicándose anteriormente, siempre que no sea irrazonable, por imprevisible o incoherente con la sustancia de la infracción. Expone que la interpretación razonada en la STS 197/2006, de 28 de febrero, es más ajustada a la literalidad de los arts. 70.2 y 100 CP 1973, y más conforme con el principio de justicia (art. 1.1 CE). De los arts. 24.1 y 25.1 CE no resulta que los penados ostenten un derecho constitucional a que las normas sobre beneficios penitenciarios se apliquen de la manera que más favorezca a su pronta excarcelación por licenciamiento definitivo, pasando por encima de las más elementales consideraciones de justicia, de respeto a las víctimas, y a sus deudos, y aún de las finalidades de la propia pena: retributiva, preventiva e incluso resocializadora. Entiende, que existiría retroactividad si la variación del cómputo del beneficio de redención de penas por el trabajo se pretendiera aplicar a internos ya licenciados por haber aceptado el Juez o Tribunal de ejecución que habían cumplido su condena. Pero no hay retroactividad si la pena aún se está cumpliendo, pues el distinto modo de aplicar el beneficio penitenciario varía sólo el momento final de cumplimiento penitenciario al que aún no se había llegado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2/2007, 134/2007, 147/2007, 31/2008 y 67/2008, considera que no hay violación de la igualdad aplicativa (art. 14 CE), al no acreditarse ni siquiera mínimamente un término de comparación preciso e individualizado, ni se prueba la identidad de órgano, ni se acredita la ruptura arbitraria con una línea jurisprudencial preexistente, o con un precedente inmediato del mismo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entiende que si no ha existido vulneración del derecho a la tutela judicial efectiva, tampoco se ha vulnerado la libertad personal del demandante. Existe título legítimo de privación de libertad, la Sentencia firme, sin que el derecho fundamental a la libertad personal entrañe el derecho a que se computen los beneficios de reducción de penas por el trabajo de manera que faciliten al máximo el licenciamiento del centro penitenciario. Añade que el motivo simplemente deja constancia de una discrepancia de opinión que carece de relevancia jurídica. Por lo expuesto solicita que se dicte Sentencia por la que se inadmita el amparo o subsidiariamente se desestime.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mediante escrito registrado el día 15 de febrero de 2011. En ellas examina, en primer lugar, la alegada vulneración del derecho a la tutela judicial efectiva (art. 24.1 CE). Considera que el núcleo del problema reside en que ambas resoluciones judiciales recurridas en amparo asumen los criterios expresados por la STS 197/2006, de 28 de febrero. Entiende que la norma no ha variado, tanto si se considera el art. 70.2 CP 1973 o el art. 76.2 CP 1995. Lo que sí ha variado sustancialmente es la aplicación de la norma, lo que ocasiona un evidente perjuicio penológico al demandante de amparo. Debe analizarse, si el evidente perjuicio tiene entidad y encaje en alguno de los derechos fundamentales que se alegan como vulnerados. Indica que el penado venía disfrutando de beneficios penitenciarios de manera diferente a lo exigido por la mencionada Sentencia del Tribunal Supremo, por ello se fijó la fecha del licenciamiento el 24 de enero de 2024. Tras citar la STC 23/2005, de 14 de febrero, indicando que el derecho a la intangibilidad de las resoluciones judiciales firmes se encuentra amparado en el seno del art. 24.1 CE, afirma que dicho derecho fundamental se configura en buena medida como un derecho subjetivo, de quienes han sido parte o lo son en un proceso, a que las resoluciones judiciales firmes no sean modificadas o alteradas fuera de los cauces previstos en la ley (STC 234/2007,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plantearse si la resoluciones judiciales como los Autos, liquidaciones y refundiciones de condena, poseen o no la naturaleza de firmes que implica su intangibilidad, citando a tal efecto la STC 174/89, de 30 de octubre, afirma que el conflicto se plantea en relación a la prevalencia entre la exigencia de mantenimiento de una resolución judicial de refundición de penas y la variación de una interpretación jurisprudencial de su núcleo duro normativo que implica consecuencias retroactivamente perjudiciales para la fecha del licenciamiento definitivo. Sostiene que la ejecución de una Sentencia penal debe obedecer siempre a criterios de estricta legalidad (SSTC 11/1987 y 147/1988), no siendo de recibo que establecidos en una resolución judicial unos criterios de interpretación normativa para fijar la refundición de condena (la liquidación de condena de 14 de mayo de 1998), los mismos puedan variarse en virtud de una resolución posterior, sin vulnerar el derecho a la intangibilidad de las resoluciones judiciales (STC 209/2005, de 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señalando que dicho derecho tiene engarce con el principio de legalidad (art. 25.1 CE) en relación con la prohibición de retroactividad de las normas penales perjudiciales para el reo (art. 9.3 CE, por todas STC 223/1997 y STEDH Streletz, Kessler y Krenz c. Alemania, de 22 de marzo de 2001), ya que las garantías de legalidad y seguridad jurídica que exigen ambos preceptos constitucionales deben extenderse no sólo al enjuiciamiento del hecho como tipicidad cierta, taxativa y previsible (por todas SSTC 196/2002 y 111/2004), sino que lo es asimismo para con la ejecución de las penas, integrándose la irretroactividad de las normas, y su interpretación, desfavorable al reo en el complejo de legalidad del art. 25.1 CE (STEDH Puhk c. Estonia, de 10 de febrero de 2004). Entiende que las resoluciones recurridas suponen de facto, la creación ex novo de un nuevo marco “paranormativo”, que ha causado una extensión de la fecha de licenciamiento del interno, vulnerando con ello el derecho a la libertad personal del demandante, al ser la fecha prevista de licenciamiento definitivo muy posterior como consecuencia de esa desfavorable interpretación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descarta la vulneración del derecho a la igualdad (art. 14 CE), pues el término de comparación que se ofrece es indeterminado en su formulación, por lo que, en modo alguno cumple con los requisitos que para tal término de comparación a los efectos del derecho fundamental a la igualdad vienen exigiéndose por el Tribunal Constitucional (SSTC 200/2001, 70/2003, 297/2005 y 190/2006). Por otra parte, del Tribunal Constitucional no encontró vulneración del derecho a la igualdad al examinar diferentes criterios en la aplicación de las penas (STC 256/1988).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solicita la estimación del amparo por vulneración del derecho a la intangibilidad de las resoluciones judiciales (art. 24.1 CE), legalidad penal en relación con la irretroactividad de lo desfavorable para el reo (art. 25.1 CE en relación con el art. 9.3 CE), y el derecho a la libertad personal (art. 17.1 CE), por lo que deben ser anuladas las resoluciones impugnadas ordenando que se pronuncie de nuevo el Tribunal sentenciador sobre la fecha de licenciamiento definitivo del condenado respetando los derechos fundamentales que han sido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21 de junio de 2011, el Pleno acordó recabar para sí, a propuesta de la Sala Primera, el conocimiento del presente recurso de amparo que se tramitaba en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marzo de 2012 se señaló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1 de febrero de 2007 de la Sala Segunda del Tribunal Supremo que, al apreciar carencia manifiesta de fundamento, inadmitió el recurso de casación presentado contra el anterior Auto de 24 de abril de 2006 de la Audiencia Provincial de Pontevedra que, como Tribunal sentenciador, acordó que la redención de penas por el trabajo que hubiera obtenido o pudiera obtener el demandante durante el cumplimiento de su condena se computara sobre cada una de las penas impuestas, y no sobre el límite máximo de cumplimiento de treinta años de privación de libertad que había sido fijado en la Sentencia condenatoria, de 24 de junio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la legalidad de las infracciones y sanciones (art. 25.1 y 2 CE), a la libertad personal (art. 17.1 CE) y a la igualdad en la aplicación de la ley (art. 14 CE), con la argumentación que ha quedado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concurre un óbice procesal que debe llevar a inadmitir el recurso de amparo por cuanto se habrían invocado deficientemente en el recurso de casación los derechos fundamentales ahora alegados. En su opinión, el recurso de casación se planteó exclusivamente en términos de infracción de la legalidad penal [arts. 70.2 y 100 del Código penal (CP) de 1973] no habiendo dado oportunidad a la jurisdicción ordinaria de pronunciarse sobre las quejas que hoy sustentan su pretensión de amparo. Subsidiariamente, para el caso de no apreciarse el óbice procesal reseñado, solicita la desestimación de la demanda, en los términos que han sido expuestos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apoya la estimación parcial del recurso presentado por entender que, tal y como se denuncia, la aplicación del nuevo criterio jurisprudencial fijado en la citada Sentencia 197/2006, de 28 de febrero, del Tribunal Supremo, supone la vulneración de los derechos fundamentales consagrados en los arts. 17.1, 24.1 y 25.1 CE, por afectar a situaciones jurídicas ya reconocidas por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las actuaciones recabadas del Tribunal sentenciador nos impide apreciar el óbice de procedibilidad aducido por el Abogado del Estado en su escrito de alegaciones, que se basa en la deficiente invocación formal de los derechos fundamentales en el recurso de casación presentado contra la resolución impugnada. Si bien es cierto que la preparación del recurso de casación, y su interposición después, se hizo, fundamentalmente denunciando la infracción de los arts. 70.2 y 100 del Código penal, es posible apreciar de forma suficiente el planteamiento de la cuestión, durante su desarrollo, en términos que permiten preservar la subsidiariedad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analizar la causa de inadmisión prevista en el art. 50.1 a), en relación con el art. 44.1 c), ambos de la Ley Orgánica del Tribunal Constitucional (LOTC), en la redacción anterior a la Ley Orgánica 6/2007, de 24 de mayo, hemos destacado en nuestra jurisprudencia (STC 211/2007, de 8 de octubre, FJ 2) que la razón que sustenta esta exigencia y, con ella, la interpretación teleológica del mencionado requisito que exige “que se haya invocado formalmente en el proceso el derecho constitucional vulnerado, tan pronto como, una vez conocida la violación, hubiere lugar para ello”, estriba en la necesidad de preservar el carácter subsidiario del recurso de amparo constitucional, configurándose como un mecanismo esencial para la articulación entre la jurisdicción ordinaria y la jurisdicción constitucional, por cuanto exige que con carácter previo al recurso de amparo constitucional se haya dado una efectiva oportunidad a los órganos jurisdiccionales ordinarios para reparar la vulneración supuestamente cometida a través de la inserción en el proceso judicial del problema constitucional que constituye el objeto del recurso de amparo constitucional. Su finalidad, por consiguiente, es la de someter al Juez que conoce del proceso, o al que están atribuidos otras instancias o recursos útiles para remediar la vulneración constitucional, los motivos susceptibles de fundar el recurso de amparo con el designio de introducir en el debate del que conoce el Juez o Tribunal los motivos y fundamentos referentes al derecho constitucional que se reputa vulnerado y, en su caso, propiciar que se remedie en la instancia o en los recursos la vulneración del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más profundo del requisito exigido por el art. 44.1 c) LOTC —hemos declarado también en la STC 203/1987, de 18 de diciembre—, “reside en facilitar que los Jueces y Tribunales puedan cumplir su función tutelar de los derechos y libertades susceptibles de amparo constitucional … o bien la de conseguir que los órganos judiciales ordinarios remedien por sí mismos la violación que ellos causen del derecho o libertad fundamental, dándoles la oportunidad de argumentar y pronunciarse sobre la cuestión que luego puede ser objeto del recurso último y subsidiario de amparo. Y que esa invocación previa puede hacerse ante el mismo órgano judicial cuando exista un remedio procesal previsto, aunque las posibilidades de acogida sean remotas, o bien ante el Tribunal superior directamente … Todo ello, obviamente, para preservar el carácter subsidiario de la jurisdicción constitucional de amparo, que resultará desvirtuada si ante ella se trajeran cuestiones sobre las que previamente, a través de las vías procesales oportunas, no se ha dado ocasión de pronunciarse a los órganos del Poder Judicial, que son los que de modo directo y en primer término garantizan los derechos fundamentales que la Constitución proclama” (FJ 2; en igual sentido, SSTC 201/2000, de 24 de julio, FJ 2; 130/2006, de 24 de abril, FJ 4; y 132/2006, de 27 de abril,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requisito cuyo incumplimiento se aduce por el Abogado del Estado como causa de inadmisión de este recurso de amparo incluye una doble exigencia: la invocación formal del derecho constitucional vulnerado y el que esa invocación se produzca “tan pronto como, una vez conocida la violación, hubiere lugar para ello”. La finalidad apuntada de preservar el carácter subsidiario del recurso de amparo ha guiado la interpretación de este requisito y el contenido mínimo del que debe dotarse la invocación para que pueda considerarse cumplido. En tal sentido, el Tribunal ha rechazado una interpretación literal o excesivamente rigorista de este requisito, aunque el rechazo a tal entendimiento excesivamente formalista no ha llegado ni puede llegar a un vaciamiento absoluto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 Por ello, en numerosas resoluciones, que constituyen un cuerpo jurisprudencial consolidado, este Tribunal ha declarado que si bien la invocación formal exigida por el art. 44.1 c) LOTC no supone necesaria e inexcusablemente la cita concreta y numérica del precepto de la Constitución en el que se proclama el derecho o los derechos supuestamente vulnerados, ni siquiera la mención de su nomen iuris, ha de efectuarse, sin embargo, de manera que se cumpla la finalidad perseguida con aquel requisito, lo que significa que se ha de ofrecer base suficiente para que, en la vía judicial, pueda entrarse a conocer de las concretas vulneraciones después aducidas en el recurso de amparo, lo que requiere, al menos, una delimitación del contenido del derecho que se dice vulnerado o, en otras palabras, que el tema quede acotado en términos que permitan a los órganos judiciales pronunciarse sobre el mismo. Así, se ha señalado que lo decisivo es que, a través de las alegaciones que se formulen en la vía judicial, de los términos en que se ha planteado el debate en la vía procesal o de la descripción fáctica o histórica o de los datos o circunstancias de hecho de la violación del derecho fundamental o del agravio del mismo, se permita a los órganos judiciales su conocimiento en orden a que, de un lado, puedan argumentar y pronunciarse sobre la cuestión, y, de otro, reparen, en su caso, la vulneración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examinado el escrito de interposición del recurso de casación de fecha 22 de junio de 2006, es posible apreciar en él que, junto a la denunciada infracción de la ley penal, se argumenta en términos constitucionales, llegando a anticipar que las infracciones denunciadas supondrían las de los derechos a la tutela judicial efectiva por intangibilidad de resoluciones judiciales firmes y a la libertad personal [letra c) del desarrollo del motivo primero del recurso de casación]. Asimismo, al resolver el recurso de casación, el Auto de inadmisión de 1 de febrero de 2007, en su razonamiento jurídico único [letra b)] niega que las infracciones denunciadas supongan quiebra alguna del derecho a la igualdad en la aplicación de la ley o del derecho a la legalidad sancionadora (art. 25.1 CE) por aplicación retroactiva de normas penales desfavorables.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forma descrita en que se ha realizado en este caso la invocación en el recurso de casación de los derechos fundamentales supuestamente vulnerados ha de estimarse, de acuerdo con la doctrina constitucional de la que se ha dejado constancia, como suficiente para dar por satisfecho el requisito procesal que se alega como incumplido.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quedó reflejado en los antecedentes, el demandante denuncia la supuesta vulneración de los principios de igualdad en la aplicación de la ley (art. 14 CE) y de legalidad penal —desde la doble perspectiva de la ilegitimidad del nuevo criterio interpretativo y la aplicación retroactiva de una ley desfavorable (art. 25.1 CE)—, ambos puestos en relación con su derecho a la tutela judicial efectiva (pues considera irrazonable la interpretación judicial) y el derecho a la libertad personal (art. 17.1 CE), que se habría visto ilegítimamente afectada al tratarse del cumplimiento de una pena privativa de libertad. Se denuncia así, desde diversas perspectivas constitucionales, la cuestión de fondo; esto es, la aplicación a las condenas privativas de libertad que extingue de un nuevo criterio jurisprudencial, adoptado por el Tribunal Supremo en la interpretación de los arts. 70.2 y 100 CP 1973 y preceptos concordantes del reglamento penitenciario, en relación con el cómputo de la redención de penas por trabajo en penas acumuladas a las que se ha fijado, según prevén dichos preceptos del Código penal, un límite máximo de cumplimiento; en este caso de treinta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afirma en la demanda, frente al criterio anterior reiteradamente aplicado por los órganos judiciales, conforme al cual los días redimidos se descontaban del límite máximo de cumplimiento una vez operada la refundición o acumulación de condenas, el Tribunal Supremo, en la Sentencia 197/2006, de 28 de febrero, estableció que el beneficio de la redención de penas por el trabajo reconocido en el art. 100 CP 1973 ha de aplicarse no a ese máximo de cumplimiento, sino a cada una de las penas impuestas en las diversas condenas, de modo que la forma de cumplimiento de las condenas impuestas se iniciará “por el orden de la respectiva gravedad de las penas impuestas, aplicándose los beneficios y redenciones que procedan con respecto a cada una de las penas que se encuentre cumpliendo. Una vez extinguida la primera, se dará comienzo al cumplimiento de la siguiente, y así sucesivamente, hasta que se alcanzan las limitaciones dispuestas en la regla segunda del art. 70 CP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cuya estimación parcial propone el Ministerio Fiscal en su escrito de alegaciones, no pueden ser compartidas dado que el contenido de los derechos alegados no tiene el alcance expresado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hemos de destacar que, pese a la reiteración con que se alega,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en la que se cuestiona la forma de computar la redención de penas por el trabajo ya reconocida, sin que de la interpretación sometida a nuestro enjuiciamiento se derive ni el cumplimiento de una pena mayor que la prevista en los tipos penales aplicados, ni la superación del tiempo máximo de cumplimiento legalmente previsto (en este caso, treinta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 Humanos viene afirmando que las cuestiones relativas a la ejecución de la pena ya impuesta, en la medida en que no impliquen que la misma sea más grave que la prevista por la ley, no conciernen al derecho a la legalidad penal consagrado en el art. 7.1 del Convenio, por más que sí puedan afectar al derecho a la libertad personal si se actúa al margen de lo previsto en la ley. En este sentido se pronuncia la STEDH de 10 de julio de 2003, Grava c. Italia, § 51, en un supuesto referido a la condonación de la pena citando, mutatis mutandis, caso Hogben contra Reino Unido, núm. 11653/1985, decisión de la Comisión de 3 marzo 1986, Decisiones e informes [DR] 46, págs. 231, 242, en materia de libertad condicional. Y más recientemente la STEDH de 15 de diciembre de 2009, caso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de las infracciones y sanciones (art. 25.1 CE) por aplicación retroactiva del art. 78 CP 1995, tanto en su redacción inicial como en la dada al mismo por la Ley Orgánica 7/2003. En dicho precepto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criterio que deviene obligatorio cuando se trata de penas especialmente graves aunque, no obstante, se prevean algunas excepciones que deberá valorar el Juez de vigilancia penitenciaria (art. 78.2 y 3 del Código penal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las resoluciones recurridas, ni la doctrina del Tribunal Supremo invocada en ellas, aplican retroactivamente dicho precepto (que, por otra parte, no hace referencia a la redención de penas por trabajo, puesto que dicha posibilidad desaparece en el Código penal de 1995), sino la normativa vigente en el momento de comisión de los hechos por los que el recurrente fue condenado (arts. 70.2 y 100 CP 1973), si bien con una nueva interpretación de la misma que, ciertamente, viene a coincidir con el criterio de cómputo consagrado expresamente en el art. 78 CP 1995, pero que el Tribunal Supremo ha considerado era posible a la vista del tenor literal de los arts. 70.2 y 100 CP 1973 y el art. 988 de la Ley de enjuiciamiento criminal. Por tanto, teniendo en cuenta el razonamiento de los órganos judiciales y los preceptos que se aplican, la queja carece de base fáctica, pues la prohibición de retroactividad de la ley penal desfavorable tiene como presupuesto fáctico la aplicación retroactiva de una norma penal a hechos cometidos previamente a su entrada en vigor (por todas, SSTC 21/1993, de 18 de enero, FJ 4; 43/1997, de 10 de marzo, FJ 5; 20/2003, de 20 de febrero, FJ 4; y 116/2007, de 21 de mayo, FJ 9), supuesto que no se da en el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cambios de criterio jurisprudencial y su conformidad con la Constitución pueden, sin embargo, ser cuestionados desde otras perspectivas. Una de ellas, alegada en la demanda de amparo, tiene que ver con el contenido del derecho a la igualdad en la aplicación de la ley (art. 14.1 CE). Pero tampoco desde esta perspectiva puede apreciarse en el presente caso la vulneración denunciada. Como señala el Ministerio Fiscal, las resoluciones impugnadas, dictadas por la Audiencia Provincial de Pontevedra, se limitan a aplicar la doctrina sentada por otro órgano judicial, el Tribunal Supremo, máximo intérprete de la ley, que justificó razonadamente el cambio de criterio sobre la forma de cómputo de las redenciones de penas por el trabajo en penas acumuladas, frente a otros supuestos resueltos con anterioridad.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 A lo que hay que añadir que, para hacer el juicio de igualdad, no es válido el término de comparación postulado en la demanda según el cual “la nueva interpretación va a dar lugar a trato diferencial de situaciones penitenciarias equivalentes”, dado su carácter general y abstracto, sin referencia concreta al mismo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colige también, por las razones expuestas, que el demandante no ha sido privado de su libertad personal en supuestos distintos de los establecidos en la ley penal, lo que descarta la alegada vulneración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se denuncia también, invocando el derecho a la intangibilidad de las resoluciones judiciales firmes, que la aplicación de la nueva interpretación jurisprudencial que cuestiona, sobre la forma de cómputo de la redención de penas por el trabajo, le genera una situación de indefensión e inseguridad jurídica que vulnera su derecho a la tutela judicial efectiva (art. 24.1 CE). Sin referencia exacta a ninguna resolución judicial concreta anterior, aduce que la doctrina que le ha sido aplicada modifica la interpretación que hasta entonces se venía haciendo y los derechos que de la misma derivaban.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comparte también este razonamiento del demandante por considerar que no es de recibo que “establecidos unos criterios de interpretación normativa para fijar la refundición de condena (la liquidación de condena de 14 de mayo de 1998) y establecidos ellos en resolución judicial, pudieran variarse en virtud de una posterior resolución”, en este caso de la Sala Segunda del Tribunal Supremo, que interpreta de otra manera las normas atinentes, como lo hacen las resoluciones judiciales ahora recurridas en amparo. La resolución judicial firme en la que considera el Fiscal que dichos criterios quedaron establecidos de forma intangible sería por tanto la liquidación provisional de condena de 14 de mayo de 1998, practicada por el Secretario Judicial del Tribunal sentenciador en la que se establecía la pena impuesta, los días de detención y prisión preventiva abonable y los días que le quedaban por cumplir al penado hasta llegar a los treinta años de límite máximo de cumplimiento fijados en la Sentencia condenatoria, cálculo éste que llevó a estimar que la pena quedaría extinguida el 24 de enero del año 2024.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alegaciones, hemos de recordar que no es función del Tribunal Constitucional fijar la interpretación de la legalidad ordinaria por lo que, en lo que aquí interesa, no nos corresponde pronunciarnos directamente sobre cómo ha de ser interpretado y aplicado al caso el art. 70 en relación con el art. 100 CP 1973, ni sobre cuál ha de ser el límite máximo de cumplimiento de las penas impuestas o el modo de computar las redenciones concedidas, pues todas ellas son decisiones de ejecución de lo juzgado que, de acuerdo con el art. 117 CE corresponden en exclusiva a los órganos judiciales (STC 147/1988, de 14 de julio, FJ 2; en el mismo sentido, SSTC 237/1998, de 14 de diciembre, FJ 3; y 31/1999, de 8 de marzo, FJ 3). Nuestra función se limita, como hemos hecho al resolver los anteriores motivos de amparo, a examinar tales decisiones desde la perspectiva de los derechos fundamentales en juego, cuyo contenido se constituye en límite de la actuación judicial. Por esta razón, el análisis de la queja comenzará con la exposición de nuestra doctrina en torno a la intangibilidad de las resoluciones judiciales firmes que se denuncia como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reiterada hemos establecido que “la intangibilidad de lo decidido en resolución judicial firme fuera de los casos legalmente establecidos es …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efecto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simultáneamente el mencionado efecto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en las resoluciones citadas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relevantes para la decisión adoptada (STC 62/2010, de 18 de octubre, FJ 5). En definitiva, el derecho a la intangibilidad de las resoluciones judiciales firmes, consagrado en el art. 24.1 CE como una de las vertientes del derecho a la tutela judicial efectiva, se proyecta sobre todas aquellas cuestiones que una resolución judicial firme haya resuelto, conformando así la realidad jurídica en un cierto sentido, pues dicha conformación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tal y como ha sido alegado, la respuesta judicial obtenida por el recurrente en las resoluciones judiciales que son objeto del presente recurso de amparo, al aplicar el nuevo criterio de cómputo de las redenciones a las penas que extingue, ha supuesto, como afirman el demandante y el Ministerio Fiscal, la revisión de un juicio efectuado en esta causa con anterioridad que conllevase la fijación de un criterio distinto y más favorable sobre la forma de computar las redenciones en caso de penas acumuladas con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respuesta a la anterior cuestión ha de ser negativa pues, como veremos, el análisis de las resoluciones judiciales adoptadas por el Tribunal sentenciador en el proceso de ejecución de las penas privativas de libertad impuestas al demandante muestra que, antes de dictar la resolución cuestionada en amparo, no había realizado el Tribunal sentenciador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y el Ministerio Fiscal, y hemos recogido en los antecedentes de esta resolución una vez constatados con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Lorenzo Vázquez fue condenado en junio de 1996 a penas que suman doscientos doce años, cinco meses y un día de privación de libertad, tras ser considerado autor un delito de robo con homicidio, tres delitos de asesinato, dos delitos intentados de homicidio, seis delitos de detención ilegal y un delito de utilización ilegítima de vehículos de 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propia Sentencia condenatoria, en aplicación de los previstos en el art. 70.2 CP 1973, vigente en el momento de cometer los hechos enjuiciados, se procedió a fijar en treinta años el límite máximo de cumplimiento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firme la condena, tras ser desestimado el recurso de casación que fue presentado, el Secretario Judicial de la Sala practicó el 14 de mayo de 1998 la liquidación provisional de la condena impuesta al demandante, según la cual, una vez descontado el tiempo que permaneció detenido y en prisión preventiva por dicha causa, el demandante extinguiría sus condenas el día 24 de enero de 2024, es decir, tras treinta años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hay ninguna otra resolución judicial relevante del Tribunal sentenciador en la ejecutoria hasta que, mediante el Auto de 24 de abril de 2006, respondiendo a una consulta del centro penitenciario, la Sala acordó que en el cumplimiento de dicha pena, las redenciones se computarían conforme al criterio fijado en la STS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ninguna de las resoluciones judiciales a las que se refiere el recurrente y el Ministerio Fiscal puede derivarse, en el presente caso, el efecto de intangibilidad respecto al criterio de cómputo de las redenciones pretendido. Ninguna de ellas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lo hacen las resoluciones del Juzgado de Vigilancia Penitenciaria en las que se reconoció al penado determinados días de redención de pena por el trabajo u otras actividades realizadas, pues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ignoren, o pongan en cuestión la firmeza e intangibilidad de lo decidido en los Autos del Juzgado de Vigilancia Penitenciaria. El Auto que acordó aplicar como criterio de cómputo el de la STS 197/2006 no dejó sin efecto dichas redenciones sino que, en ejercicio de las competencias que legalmente tiene atribuidas el Tribunal sentenciador, ordenó computarlas sucesivamente sobre las penas impuestas a efectos de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puede producir intangibilidad alguna la liquidación provisional de condena de 14 de mayo de 1998, practicada por el Secretario Judicial del Tribunal sentenciador, en la que se establecía la pena impuesta, su límite máximo de cumplimiento, los días de detención y prisión preventiva abonable y los días que le quedaban por cumplir hasta llegar a los treinta años de límite máximo de cumplimiento fijados en la Sentencia condenatoria, la cual cita el Ministerio Fiscal como resolución intangible que ha sido ilegítimamente desconocida. No sólo porque no se trata de una resolución judicial, sino porque en la misma, adoptada con carácter provisional al inicio del cumplimiento de la pena, no existe referencia alguna a la redención de penas por el trabajo o al criterio de cómputo de la misma, ni puede concluirse que establezca criterio relevante sobre tales cuestiones que pueda haber sido ratificado tácitamente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ni existe vulneración del derecho a la tutela judicial efectiva en su vertiente de intangibilidad de las resoluciones judiciales firmes (art. 24.1 CE) ni, tampoco por esta causa, vulneración del derecho a la libertad personal (art. 17.1 CE).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presente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Lorenzo Vázquez.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3027-2007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