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4793-2009, promovido por don Juan María Igarataundi Peñagaricano, representado por el Procurador de los Tribunales don José Javier Cuevas Rivas y asistido por la Letrada doña Ainhoa Baglietto Gabilondo, contra el Auto de la Sección Primera de la Sala de lo Penal de la Audiencia Nacional, de 1 de abril de 2009, que desestima el recurso de súplica interpuesto contra la providencia de 3 marzo 2009 dictada por la misma Sección, por la que se aprueba la fecha de licenciamiento definitivo del demandante. Ha intervenido el Ministerio Fiscal.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Decano de Madrid, el 19 de mayo de 2009, recibido en el Registro General de este Tribunal el 22 de mayo siguiente, don José Javier Cuevas Rivas, Procurador de los Tribunales, en nombre y representación de don Juan María Igarataundi Peñagaricano,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la Sección Primera de la Sala de lo Penal de la Audiencia Nacional, por Sentencia de 19 junio 1989 (rollo de sala 60-1987, sumario núm. 60-1987), como autor de un delito de pertenencia a banda armada a la pena de siete años de prisión mayor, y como autor de un delito de depósito de explosivos a la pena de once años de prisión mayor. Posteriormente el demandante, fue condenado por la Sección Primera de la Sala de lo Penal de la Audiencia Nacional, mediante Sentencia de 7 de mayo de 1990 (rollo de sala 25-1988, sumario núm. 25-1988), como autor de: tres delitos de estragos a la pena de siete años de prisión mayor por cada uno de ellos; un delito de utilización ilegítima de vehículos a motor, uso de armas y toma de rehenes a la pena de nueve años de prisión mayor; un delito de robo a la pena de cuatro años de prisión mayor; un delito de detención a la pena de doce años y un día de reclusión menor; cuatro delitos de terrorismo a tres penas de once años de prisión mayor, y a una pena de diez años y un día de prisión mayor; y un delito de atentado a la pena de veinticuatro años de reclusión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 de abril de 1996 por el Secretario Judicial se practicó la liquidación de las condena del Sumario 25-1988, indicando que “[p]or aplicación de la Regla 2 del art. 70 cumplirá un máximo de 30 años … 10.950 días. Los que empezados a cumplir el día siete de junio del año dos mil dieciséis (07.06.2016), fecha en que extingue otra responsabilidad, los deja cumplidos (s.e.u.o.) el día treinta de mayo del año dos mil cuarenta y seis (30.05.2046), fecha en la que deberá ser puesto en libertad, siempre que de ella no estuviere privado por otra causa o motivo legal que lo impida” (folio 349). Dicha liquidación fue aprobada por providencia de 12 de abril de 1996 (folio 353).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dictado por la Sección Primera de la Sala de lo Penal de la Audiencia Nacional el 23 de junio de 1997 se acordó la acumulación de las condenas impuestas al demandante en las dos causas, fijando una duración de treinta años de privación de libertad (folios 460 a 461). Posteriormente la misma Sección mediante Auto de 23 de marzo de 1998 declaró la improcedencia de la revisión de las penas impuestas al demandante, “teniendo en cuenta las manifestaciones del fiscal y del penado, contrarias a la revisión, y ponderando que aunque, con arreglo al nuevo Código, el límite de cumplimiento sería de 25 años de prisión por aplicación de su art. 76, 1, a), dado que ninguna de las penas imponibles a Igarataundi excedería de 20 años, según lo establecido en el art. 571, en relación con el 346, y en el 572, 1, 2, es más favorable, no obstante, el Código antiguo, en cuanto que permitirá al penado gozar de las redenciones posteriores al 25 de mayo de 1996” (folios 574 a 576).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Director del centro penitenciario de León, mediante escrito registrado el 17 de febrero de 2009, efectuó la propuesta de licenciamiento definitivo, contemplando dos alternativas según la forma de cómputo de los días de redención reconocidos. Previo traslado al Ministerio Fiscal, la Sección Primera de la Sala de lo Penal de la Audiencia Nacional, dictó providencia, el 3 de marzo de 2009, fijando como fecha de licenciamiento definitivo el 6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dicha providencia, el demandante de amparo, interpuso el 18 de marzo de 2009 recurso de súplica, que previo informe del Ministerio Fiscal, fue desestimado por Auto de 1 de abril de 2009 citando la doctrina de la Sentencia de la Sala Segunda del Tribunal Supremo de 28 de febrero de 2006 e indicando que no quiebra el principio de igualdad en tanto que “en el caso invocado por el recurrente de Ugarte Cincunegui, que se trata de un penado cuyo licenciamiento se produjo en el año 2003, y por tanto anterior a febrero de 2006; y en el caso de Arrizabalaga Osa aun se encuentra pendiente cumpliendo condena.” La notificación del Auto se produjo el 3 de abril de 2009, indicando al pie del mismo que no era susceptible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27 de marzo de 2009 se expidió diligencia de constancia por la Secretaria de la Sala de lo Penal de la Audiencia Nacional cuyo tenor literal es el que sigue: “La extiendo yo, la Secretaria, para hacer constar que a la vista de lo manifestado en el escrito presentado por el Procurador Sr. Dorremochea Aramburu en fecha 16-03-2009 sobre ausencia de notificación de la providencia dictada en la presente ejecutoria en fecha 20-2-1009, y previas las gestiones de comprobación necesarias, se hace constar que dicha resolución tuvo entrada a efectos de notificación en el Ilustre Colegio de Procuradores de Madrid el día 21-2-09, según consta en la relación de entrega de documentación cuya copia testimoniada se acompaña; por lo que se considera efectivamente notificada.”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Posteriormente mediante escrito registrado en la Sala de lo Penal de la Audiencia Nacional el 24 de febrero de 2011, el demandante de amparo solicitó, dado el retraso del licenciamiento hasta el año 2017, la aplicación del Código penal (en adelante CP) de 1995, al ser más favorable la aplicación del límite de cumplimiento de veinticinco años. Dicha petición fue desestimada por Auto de 5 de mayo de 2011, que tras admitir la posibilidad de revisar el Auto de 23 de marzo de 1998 al tratarse de “una ejecución que continúa en trámite”, considera que conforme al art. 76 CP 1995, el límite máximo de cumplimiento son treinta años —y no veinticinco como indicó la resolución anterior—, al haber sido condenado por varios delitos uno de los cuales tenía señalada pena superior a los veinte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invoca como vulnerados en su demanda de amparo los derechos fundamentales: a la igualdad (art. 14 CE); a la libertad y seguridad (art. 17.1 CE); a la tutela judicial efectiva (art. 24.1 CE); a la defensa (art. 24.2 CE); así como el principio de legalidad y seguridad jurídica, y la orientación de las penas privativas de libertad y medidas de seguridad hacia la reeducación y reinserción social (art. 25.1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su exposición, señala como primer motivo de amparo, la vulneración del principio acusatorio, del derecho a la defensa y a la contradicción en relación con el derecho a la tutela judicial efectiva y a un proceso público con todas las garantías, y “todo ello en relación con el derecho a la libertad, recogido en el artículo 17 de la CE”. Con cita de las SSTC 11/1987 y 123/2005, expone la demanda que la providencia de 3 de marzo de 2009 se dictó sin que conste notificada la resolución que determinaba dar traslado a las partes de la propuesta de liquidación y sin dar al demandante la posibilidad de discutir el criterio aplicado, asumiendo el órgano judicial funciones acusatorias, rompiendo su imparcialidad. Entiende que el Auto de 1 de abril de 2009 no entra a discutir si existen resoluciones judiciales firmes que sitúen la cuestión en un plano diferente al de STS 197/2006 de 28 de febrero, limitándose a trascribirla.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motivo de amparo, se aduce la vulneración del principio de legalidad (art. 25.1 y 2 CE), en relación con la interpretación de los arts. 70.2 y 100 CP 1973, así como de los arts. 66 del reglamento de prisiones de 1956 y del art. 202 del reglamento penitenciario actual. Argumenta, en tal sentido, que la interpretación llevada a cabo por el Tribunal Supremo, y aplicada en el presente caso, es ajena al tenor literal de dichas normas, a las pautas axiológicas que conforman el ordenamiento constitucional y a los modelos de argumentación aceptados por la comunidad jurídica, pudiendo calificarse dicha interpretación de extravagante, imprevisible, e irrespetuosa, por ser contraria a la interpretación realizada hasta el momento, y a la literalidad de la norma. Entiende que dicha interpretación supone un agravamiento en el caso de delitos graves al situar el límite máximo de cumplimiento efectivo de la condena más allá de la aplicación de la redención o de la sujeción al tratamiento penitenciario, haciendo abstracción del art. 25 CE. Afirma que las resoluciones impugnadas niegan el carácter de beneficio penitenciario a las redenciones de condena. Expone que el art. 100 CP, las configura como tiempo de “cumplimiento”, debiendo aplicarse a efectos de la liquidación de condena, y según el art. 202 del reglamento penitenciario, suponen una reducción de la condena impuesta por el tiempo efectivo de internamiento. Entiende que debe descontarse del tiempo máximo de cumplimiento los beneficios penitenciarios, por tal razón considera que el demandante tendría extinguida su condena desde el 9 de abril de 2009. Posteriormente cita los arts. 66 y 71.3 del reglamento de servicios y prisiones de 1956, para reforzar su afirmación de la procedencia de descontar del máximo de cumplimiento los beneficios que supongan un acortamiento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de amparo denuncia la vulneración del derecho a la tutela judicial efectiva (art. 24.1 CE), en relación con el derecho a la libertad (art. 17.1 CE). Sostiene la demanda que la nueva interpretación del cómputo de las redenciones sobre la totalidad de la condena le genera indefensión e inseguridad jurídica, pues las redenciones aprobadas por los Juzgados de Vigilancia Penitenciaria, intangibles y firmes, aplicadas —como se venía haciendo— al tope de treinta años, suponían un acortamiento de su condena de treinta años. El trabajo y los estudios en la prisión se realizaron en la confianza de que las redenciones así obtenidas implicarían un acortamiento del tiempo de permanencia en prisión, y se generó una expectativa de acortamiento sobre la base de la actuación de los Juzgados de Vigilancia Penitenciaria y las Audiencias que aprobaron las redenciones propuestas por las diferentes prisiones. La defraudación de esa expectativa con la nueva doctrina aplicada genera inseguridad jurídica y vulnera el derecho a la tutela judicial efectiva, en relación con el derecho a la libertad, que implica un deber reforzado de motivación. Citando la STC 174/1989,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considera vulnerado el derecho a la tutela judicial efectiva (art. 24.1 CE), en su vertiente de intangibilidad de las resoluciones judiciales firmes, y en relación con los principios de legalidad y seguridad jurídica. Considera que el “Auto de fecha 23 de junio de 1997”, acordó “acumular las condenas impuestas al penado … fijándose en una duración de 30 años de privación de libertad el tiempo total de cumplimiento”, considerándola más beneficiosa que la condena de veinticinco años conforme al Código penal 1995, lo que generó una expectativa de reducción de la condena, por aplicación de las redenciones de pena por el trabajo a la pena única de treinta años. Dicha resolución ha sido modificada al cambiarse los criterios que se tomaron en consideración, afectando al principio de intangibilidad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quinto motivo de amparo, considera vulnerado el principio de legalidad (arts. 25.1 y 9.3 CE). Entiende que las resoluciones efectúan una aplicación retroactiva de una norma penal desfavorable, en relación con los arts. 7 del Convenio europeo para la protección de los derechos humanos y de las libertades fundamentales (CEDH) y 15 del Pacto internacional de derechos civiles y políticos (PIDCP). Considera que la resolución impugnada realiza una aplicación fraudulenta del art. 78 CP 1995. Considera que se vulnera la legalidad cuando se hace una aplicación de una norma penal, cuya entrada en vigor sea posterior al hecho enjuiciado, si resulta imprevisible concluir que dicha norma era más beneficiosa para el acusado. Afirma que el Código penal de 1973 no contempla aplicar la redención sobre cada una de las penas, indica que tal posibilidad se contempla en el Código penal de 1995, en relación con los beneficios penitenciarios y la libertad condicional, por lo que entiende que la Sentencia del Tribunal Supremo no efectúa una nueva interpretación del art. 70.2 CP sino que lo que de facto realiza es una aplicación retroactiva del criterio establecido en el art. 78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sexto lugar, e invocando el derecho a la igualdad en la aplicación de la ley (art. 14 CE), con cita de la STC 144/1988,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y el Voto particular de la STS 197/2006). Afirma que se trata de una reescritura del art. 70.2 CP 1973, provocada por factores extrajudiciales, por quienes son los sujetos pasivos a los que afecta, y por las circunstancias en que se adopta la decisión, por tanto, un cambio de criterio ad personam.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séptimo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y en contra de la práctica habitual y pacífica. Reproduce parcialmente el Voto particular de la STS 197/2006, añadiendo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Indica que el demandante cumplió la condena el 9 de abril de 2009, según se desprende de la liquidación de condena realizada por la prisión de León y por ello estima que las resoluciones impugnadas violan, por ello, el art. 17 CE y los arts. 5 y 7.1 CEDH, así como los arts. 9.1 y 5 y 15.1 PIDCP. Expone que la revocación de la propuesta de licenciamiento afecta además a las posibilidades de revisión de la condena y las posibilidades de aplicación del Código penal de 1995 ó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alega la vulneración del art. 25.2 CE en relación con las Reglas mínimas para el tratamiento de los reclusos y el Pacto internacional de derechos civiles y políticos, al incumplir el principio de que las penas privativas de libertad y medidas de seguridad deben ir orientadas hacia la reeducación y reinserción social. Indica que la reclusión excesivamente prolongada puede producir efectos irreparables en la personalidad, y que la redención de penas estaba orientada a la resocialización y reeducación.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acordó, por providencia de 14 de abril de 2011, la admisión a trámite de la demanda así como, a tenor de lo establecido en el art. 51 del Ley Orgánica del Tribunal Constitucional (LOTC), dirigir atenta comunicación a la Audiencia Nacional para que remitiera certificación o fotocopia adverada de las actuaciones correspondientes a la ejecutoria 25-1988, interesando al tiempo que se emplazara a quienes fueron parte en el procedimiento, a excepción del demandante de amparo, para que pudiesen comparecer en el recurso de amparo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del Tribunal Constitucional, de 20 de septiembre de 2011, se acordó dar vista de las actuaciones recibidas a la parte recurrente y al Ministerio Fiscal por plazo común de veinte días, dentro del cual pudieron presentar las alegaciones que estimaron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evacuó el trámite de alegaciones conferido mediante escrito registrado en fecha 24 de octubre de 2011, en el que ratificó las alegaciones efectuadas en el escrito de demanda, insistiendo en la exposición de alguno de los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28 de octubre 2011, solicitando la estimación de la demanda de amparo por entender que las resoluciones judiciales han vulnerado el derecho fundamental de ejecución de las resoluciones judiciales en sus propios términos (art. 24.1 CE), en relación con el principio de legalidad penal (art. 25.1 CE), y de libertad personal (art. 17.1 CE), y consiguientemente la anulación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los antecedentes procesales y los motivos de impugnación de la demanda, comienza su exposición por la eventual vulneración del principio de legalidad penal recogido en el art. 25.2 CE y, más concretamente, en el enunciado que alude al carácter rehabilitador y de reinserción social de las penas. Sostiene que debe ser rechazado dicho motivo al no contener el art. 25.2 CE un derecho fundamental susceptible de ser invocado en amparo, y carecer de autonomía propia, por lo que debería quedar vinculado por su conexión a otras infracciones del derecho a la legalidad penal que el demandante denuncia en los otros motivos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 que se haya producido vulneración del principio de legalidad penal conectado con la irretroactividad de las normas penales y restrictivas de derechos, invocados en los motivos segundo y quinto de la demanda, pues no es invocable en amparo, a no ser que a través del mismo haya sido vulnerado alguno de los derechos fundamentales susceptibles de amparo (STC 237/1993). Entiende que únicamente se sustenta en las alegaciones del demandante que el Tribunal Supremo haya realizado una interpretación del art. 70.2 CP 1973 conforme a los criterios del actual art. 76 CP 1995, en tanto que el precepto aplicado siempre ha sido el art. 70.2 CP 1973. Añade que no parece posible afirmar que la exégesis que se efectúa del indicado precepto se basa en una subsunción ajena al significado de los términos de la norma aplicada por una argumentación ilógica o indiscutiblemente extravagante o ajena a los criterios que informan el ordenamiento constitucional o que conduzcan a soluciones esencialmente contrarias u opuestas a la orientación material de la norma, y por ello imprevisible para sus destinatarios. Indica que el principio de irretroactividad se establece respecto de las leyes y no de las líneas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vulneración del derecho fundamental a la libertad personal (art. 17.1 CE) debe considerarse inserta en la argumentación de denegación de la irretroactividad contra reo expuesta en el apartado anterior, en tanto que si no concurre tal defecto constitucional en la aplicación al reo de la doctrina derivada de la STS 197/2006, tampoco puede deducirse que el no licenciamiento del demandante haya comprometido su derecho a la libertad personal, por lo que también debe desestimarse el motivo séptimo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derecho a la igualdad (art. 14 CE), contenida en el motivo sexto de la demanda, indica que no puede prosperar, en tanto que cuando se dictan los licenciamientos definitivos referidos por el demandante todavía no se había dictado la STS 197/2006 siendo posible el cambio de decisiones de modo argumentativo por parte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en los motivos tercero y cuarto argumenta la vulneración del derecho a la intangibilidad de las resoluciones judiciales, sea en relación con el derecho a la libertad personal sea como núcleo mismo de la intangibilidad (arts. 24.1 y 17 CE). Considera que el núcleo del problema se encuentra en el Auto de 23 de junio de 1997 que decidió la refundición de penas y se asumieron los entonces vigentes criterios interpretativos del art. 70.2 CP 1973. Entiende que la norma no ha variado, que lo que se han modificado en la interpretación efectuada por la Sala Segunda del Tribunal Supremo desde la STS 197/2006, de 28 de febrero, ocasionando un evidente perjuicio penológico al demandante. Tras señalar que el derecho a la intangibilidad de las resoluciones judiciales firmes se encuentra comprendido el derecho a la tutela judicial efectiva (STC 23/2005, de 14 de febrero) y aparece configurado como un derecho subjetivo a que las resoluciones judiciales firmes no serán modificadas o alteradas fuera de los cauces previstos en la ley, sostiene que no parece que puedan ser clasificadas como resoluciones judiciales de naturaleza intangible las liquidaciones de condena habida cuenta de la extremada fluidez de la vida de cumplimiento penitenciario cuando entre en juego, como sucede el caso de autos, la institución de la redención de penas, en sí mismas consideradas. Ahora bien, señala que otra cosa acontece con el auto de refundición de penas al operar sobre una realidad, al refundir condenas, y su norma. Podría hipotéticamente hablarse de una ampliación o nuevas condenas, y en tal caso decaería tan solo el efecto concepto de intangibilidad. Mas no en es el caso de autos. En éste no se varían las condenas, tampoco el mecanismo limitado, sino lo que se modifica es la jurisprudencia emanada de la STS 197/2006. Indica que el conflicto se plantea en relación a la prevalencia entre mantener la resolución judicial de refundición de penas y la variación de una interpretación jurisprudencial de rótulo normativo que implica consecuencias retroactivamente perjudiciales para la fecha de licenciamiento definitivo, lo que implica inevitablemente la aparición de su derecho a la libertad (art. 17.1 CE). Descarta que “establecidos en los criterios de interpretación normativa para fijar la refundición de condena (auto de 16 de junio de 1997) y establecidos ellos en resolución judicial, pudieran variarse en virtud de otra posterior resolución judicial que aplica por vía de remisión la STS 197/06, que interpreta de otra manera las normas atinentes. De todo lo anterior lo que se desprende es que si estimamos que el Auto de 23 de junio de 1997 que fijo los criterios para la ejecución de la condena operando una interpretación concreta de la normativa en juego, y muy particularmente de la refundición de condenas, se ha visto modificado posteriormente por la providencia de 3 de marzo de 2009 y el Auto de 1 de abril de 2009”. Por ello concluye que se ha producido la vulneración del derecho a la intangibilidad de las resoluciones judiciales (art. 24.1 CE), en relación con el principio de legalidad penal en relación con la irretroactividad de lo desfavorable para el reo (art. 25.1 y 9.3 CE) y del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que el primero de los motivos amparo debe ser desestimado pues pese a no haberse dado traslado a la defensa de la propuesta de licenciamiento del centro penitenciario, sin embargo pudo interponer e interpuso recurso de súplica sustentando sus alegaciones contra la aplicación de la denominada (doctrina “Parot”), por lo que no se le produjo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17 de enero de 2012, el Pleno acordó recabar para sí, a propuesta de la Sala Primera,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veintiséis de marzo de 2012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de la Sección Primera de la Sala de lo Penal de la Audiencia Nacional, de 1 de abril de 2009, que desestima el recurso de súplica interpuesto contra la providencia de 3 marzo 2009 dictada por la misma Sección, por la que se aprueba la fecha de licenciamiento definitivo del demandante ha vulnerado el principio acusatorio y el derecho a la defensa y a la contradicción en relación con el derecho a la tutela judicial efectiva y a un proceso público con todas las garantías (art. 24.1 y 2 CE), a la igualdad (art. 14 CE), a la libertad y seguridad (art. 17.1 CE), a la tutela judicial efectiva (art. 24.1 CE), a la defensa (art. 24.2 CE), así como el principio de legalidad y seguridad jurídica, y la orientación de las penas privativas de libertad y medidas de seguridad hacia la reeducación y reinserción social (art. 25.1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expuesto con más detalle en los antecedentes, considera que las resoluciones judiciales impugnadas han desconocido el derecho fundamental a la ejecución de las resoluciones judiciales en sus propios términos (art. 24.1 CE), en relación con el principio de legalidad penal (art. 25.1 CE), y de libertad personal (art. 17.1 CE), y consiguientemente solicita la anulación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quejas de amparo ha de iniciarse, según constante jurisprudencia de este Tribunal, dando preferencia a aquéllas de las que podría derivarse una retroacción de actuaciones y, dentro de ellas, a las que, por determinar la retroacción a un momento anterior, hagan innecesario un pronunciamiento sobre las restantes (entre otras, SSTC 247/2004, de 20 de diciembre, FJ 2; 308/2005, de 12 de diciembre, FJ 3; 140/2006, de 8 de mayo, FJ 3; 156/2007, de 2 de julio, FJ 3; 121/2009, de 18 de mayo, FJ 2 y 142/2011, de 26 de septiembre, FJ 2), lo que conduce a examinar en primer lugar la vulneración del derecho de defensa, de los principios acusatorio y de contradicción en relación con el derecho a la tutela judicial efectiva y al derecho a un proceso público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demandante que la providencia de 3 de marzo de 2009, por la que se fijaba la fecha de licenciamiento definitivo, se dictó sin que conste notificada la resolución que determinaba dar traslado a las partes de la propuesta de liquidación efectuada por el centro penitenciario, lo que a su juicio vulnera el principio acusatorio y el derecho a la defensa y a la contradicción en relación con el derecho a la tutela judicial efectiva y a un proceso público con todas las garantías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el demandante no ha sufrido indefensión al haber podido sustentar sus alegaciones al interponer el recurso de súplica contra la providencia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del demandante se debe reconducir al derecho a no sufrir indefensión, en tanto que el principio acusatorio se manifiesta en el deber de correlación entre la acusación y el fallo (STC 155/2009, de 25 de junio, FJ 6, citada por las SSTC 205/2009, de 23 de noviembre, FJ 3; 70/2010, de 18 de octubre, FJ 4 y 126/2010, 29 de noviembre, FJ 3), y por tanto, se proyecta en un momento anterior al de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encuadrada la queja debemos indicar que tempranamente este Tribunal tuvo ocasión de afirmar que “[e]l concepto jurídico-constitucional de indefensión que el art. 24 de la Constitución permite y obliga a construir, no tiene por qué coincidir enteramente con la figura jurídico-procesal de la indefensión. Ocurre así, porque como acertadamente ha sido dicho, la idea de indefensión no puede limitarse, restrictivamente, al ámbito de los que pueden plantearse en los litigios concretos, sino que ha de extenderse a la interpretación desde el punto de vista constitucional de las Leyes reguladoras de los procesos. Por esto, si bien el Derecho procesal, en aras de sus propias necesidades de estructuración de los procesos y para facilitar el automatismo y la tramitación de los procedimientos judiciales, presenta un contenido marcadamente formal y define la indefensión de un modo igualmente formal, a través, por ejemplo, de la falta del debido emplazamiento o de la falta de otorgamiento de concretos trámites o de concretos recursos, en el marco jurídico-constitucional no ocurre lo mismo. … La conclusión que hay que sacar de ello es doble: por una parte, que no toda infracción de normas procesales se convierte por sí sola en indefensión jurídico-constitucional y por ende en violación de lo ordenado por el art. 24 de la Constitución; y, por otra parte, que la calificación de la indefensión con relevancia jurídico-constitucional o con repercusión o trascendencia en el orden constitucional ha de llevarse a cabo con la introducción de factores diferentes del mero respeto —o, a la inversa, de la infracción de las normas procesales y del rigor formal del enjuiciamiento—. En el contexto del art. 24 de la Constitución la indefensión se caracteriza por suponer una privación o una limitación del derecho de defensa, que … si se produce en virtud de concretos actos de los órganos jurisdiccionales entraña mengua del derecho de intervenir en el proceso en el que se ventilan intereses concernientes al sujeto, …, así como del derecho de realizar los alegatos que se estimen pertinentes para sostener ante el Juez la situación que se cree preferible” (STC 48/1984, de 4 de abril, FJ 1). Este Tribunal también ha reiterado que para que “una irregularidad procesal o infracción de las normas de procedimiento alcance relevancia constitucional debe producir un perjuicio real y efectivo en las posibilidades de defensa de quien las denuncie” (por todas, SSTC 233/2005, de 26 de septiembre, FJ 10, o 130/2002, de 3 de junio, FJ 4) y que “es necesario que la indefensión alegada sea imputable a actos u omisiones de los órganos judiciales y que tenga su origen inmediato y directo en tales actos u omisiones;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(entre otras muchas, SSTC 101/1989, de 5 de junio, FJ 5; 237/2001, de 18 de diciembre, FJ 5; 109/2002, de 6 de mayo, FJ 2; 87/2003, de 19 de mayo, FJ 5; y 5/2004, de 16 de enero, FJ 6; 141/2005, de 6 de junio, FJ 2;160/2009, de 29 de junio, FJ 4 y 12/2011, de 28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expuesta es oportuno señalar que la premisa en la que se apoya el demandante —esto es, la falta de traslado de la propuesta de liquidación antes de que se dictara la providencia impugnada—, aparece desvirtuada por la certificación del Secretario Judicial de la Sección Primera de la Sala de lo Penal de la Audiencia Nacional —que no aparece cuestionada por el demandante—, reproducida en la letra f) del antecedente segundo. Por lo que puede afirmarse que la providencia acordando el traslado fue correctamente notificada a través del Colegio de Procuradores, pese a lo cual el recurrente no hizo uso de la facultad de emitir informe sobre la propuesta de liquidación. De modo que la ausencia de informe es atribuible a la pasividad del demandante, no comprendida —por tanto— por el contenido del derecho a no sufrir indefensión. Del mismo modo conviene tener presente que el demandante interpuso recurso de súplica frente a la providencia que determinaba la fecha de licenciamiento definitivo, por lo que no vio limitado su derecho de defensa, ni menoscabado el derecho de realizar los alegatos que estimó pertinentes para sostener ante el órgano jurisdiccional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tales motivos la queja formulada tiene un carácter meramente formal y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segundo y quinto motivo de amparo, tal y como se ha expuesto con mayor detalle en los antecedentes, se encuentran íntimamente vinculados, al invocar el demandante la vulneración del principio de legalidad (con cita de los arts. 9.3 y 25.1 y 2 CE). En el primer caso por la interpretación efectuada, por las resoluciones impugnadas, de los arts. 70.2 y 100 del Código penal (CP) de 1973, así como de los arts. 66 del reglamento de prisiones de 1956 y del art. 202 del reglamento penitenciario actual y en el segundo por entender que se aplica retroactivamente el art. 78 CP 1995, pese a tratarse de una norma penal desfavorable, en tanto que el Código penal de 1973 no contempla aplicar la redención sobre cada una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descarta que se haya producido vulneración del principio de legalidad penal, en tanto que el principio de irretroactividad de las normas penales y restrictivas de derechos, no es invocable en amparo, a no ser que a través del mismo haya sido vulnerado alguno de los derechos fundamentales susceptibles de amparo (STC 237/1993, de 12 de julio). Y que la interpretación efectuada del art. 70.2 CP 1973 no supone una subsunción ajena al significado de los términos de la norma, añade que el principio de irretroactividad se establece respecto de las Leyes y no de las líneas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hemos de destacar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máximo de cumplimiento legalmente previsto. El Tribunal Europeo de Derecho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Grava c. Italia, § 51, en un supuesto referido a la condonación de la pena citando, mutatis mutandis, caso Hogben c. Reino Unido, núm. 11653/1985,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de las infracciones y sanciones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Prescribiendo, en relación a supuestos de acumulación de varias penas especialmente graves la obligatoriedad de realizar ese cómputo referido a la totalidad de las penas impuestas; preceptividad que, sin embargo, admite algunas excepciones (art. 78.2 y 3 del Código penal actual). Pues bien,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Ministerio Fiscal, las resoluciones impugnadas, dictadas por la Audiencia Nacional, se limitan a aplicar la doctrina sentada por otro órgano judicial, el Tribunal Supremo, máximo intérprete de la ley, justificando el cambio de criterio en el cómputo de las redenciones de penas por el trabajo, frente a otros supuestos resueltos con anterioridad, precisamente en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las vulneraciones invocadas deben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tercer y cuarto motivo de amparo —detalladamente expuesto en los antecedentes—, el demandante considera vulnerado el derecho a la tutela judicial efectiva (art. 24.1 CE), en su vertiente de intangibilidad de las resoluciones judiciales firmes, y en relación con los principios de legalidad y seguridad jurídica, proyectando dicho atributo sobre las expectativas en el acortamiento de la pena que generaron los sucesivos Autos de los Juzgados de Vigilancia Penitenciaria que aprobaban las concretas redenciones y el Auto de acumulación de condenas de 23 de junio de 1997, por aplicación de las redenciones de pena por el trabajo a la pena única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hemos adelantado anteriormente, entiende que dicha vulneración se ha producido respecto del Auto de 23 de junio de 1997, y en consecuencia solicita la anulación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ha de limitar a la consideración de la respuesta judicial que se contiene en las resoluciones de la Audiencia Nacional recurridas, en las que se deniega la propuesta de licenciamiento definitivo del demandante de amparo, realizada por el centro penitenciario de León. No es, pues, objeto del presente recurso de amparo la Sentencia 197/2006, de 28 de febrero, ni la interpretación de la legalidad ordinaria en ella sentada por el Tribunal Supremo, en uso legítimo de la función que le atribuye en exclusiva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que analicemos el tercero de los motivos de amparo, en el que el recurrente denuncia la vulneración del derecho a la tutela judicial efectiva (art. 24.1 CE), en su vertiente de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conformando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que acaba de exponerse al presente caso nos obliga a tomar en consideración —como ponen de relieve tanto el recurrente como el Ministerio Fiscal— una serie de datos, expuestos en la demanda de amparo, como anteriormente ante la jurisdicción ordinaria, y que se constatan en el examen de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se encuentra cumpliendo condena por varias causas penales detalladas en el antecedente segundo. Por Auto de 23 de junio de 1997, las referidas penas fueron acumuladas en aplicación del art. 70.2 CP 1973, estableciéndose en dicha resolución como tiempo global de cumplimiento el de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entrada en vigor del Código penal de 1995, de conformidad con lo establecido en las disposiciones transitorias primera, segunda, tercera y cuarta, se inició un procedimiento tendente a decidir si procedía o no la revisión de las condenas, por ser la ley posterior más favorable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disposición transitoria tercera establece que los Directores de los establecimientos penitenciarios remitirán a los Jueces o Tribunales que estén conociendo de la ejecutoria “liquidación provisional de la pena en ejecución, señalando los días que el reo haya redimido por el trabajo y los que pueda redimir, en su caso, en el futuro conforme al artículo 100 del Código Penal que se deroga y disposiciones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de 23 de marzo de 1998 se acordó que no procedía la revisión de las penas, con la siguiente fundamentación:, “teniendo en cuenta las manifestaciones del Fiscal y del penado, contrarias a la revisión, y ponderando que aunque, con arreglo al nuevo Código, el límite de cumplimiento sería de 25 años de prisión por aplicación de su art. 76, 1, a), dado que ninguna de las penas imponibles a Igarataundi excedería de 20 años, según lo establecido en el art. 571, en relación con el 346, y en el 572, 1, 2, es más favorable, no obstante, el Código antiguo, en cuanto que permitirá al penado gozar de las redenciones posteriores al 25 de mayo de 1996” (folios 574 a 576).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devino firme al no ser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la fecha en que fue dictado el Auto de 23 de marzo de 1998, no existe constancia en las actuaciones de ninguna decisión de los órganos judiciales o de la administración penitenciaria de la que pueda desprenderse otro criterio en el cómputo de las redenciones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Director del centro penitenciario de León, mediante escrito registrado el 17 de febrero de 2009, efectuó la propuesta de licenciamiento definitivo, contemplando dos alternativas según la forma de cómputo de los días de redención reconocidos.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Primera de la Sala de lo Penal de la Audiencia Nacional, dictó providencia, el 3 de marzo de 2009, fijando como fecha de licenciamiento definitivo el 6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 lectura de los datos que acaban de exponerse se desprende que, como sostiene el recurrente, a lo largo de toda la ejecutoria (desde que comenzó a redimir y hasta el dictado de la providencia de 3 de marzo de 2009), el cómputo de las redenciones de pena por trabajo se ha venido realizando sobre el límite máximo de cumplimiento de treinta años, del que se descontaban tanto los días de cumplimiento efectivo como los redimidos por trabajo, plasmándose dicho criterio en los cálculos periódicos elaborados por los centros penitenciarios, hasta llegar a la liquidación de condena sobre cuya base se realiza la propuesta de licenciamiento definitivo por el centro penitenciario de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las resoluciones de los Jueces de vigilancia penitenciaria, que reconocieron al penado los días de redención de pena por el trabajo,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y reconoce un determinado número de días redimidos que, posteriormente, el Tribunal sentenciador ha de computar en la liquidación de condena cuando la misma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atribuir tal efecto al Auto de 23 de junio de 1997. Este Auto se limita a acumular las condenas impuestas al recurrente, fijando como máximo de cumplimiento treinta años de privación de libertad, en aplicación de la regla segunda del art. 70 CP 1973. No existe en el mismo Auto referencia alguna a la redención de penas por el trabajo o al criterio de cómputo de las mismas, ni puede concluirse que dicho criterio sea determinante para la decisión que se adopta. Tan solo el límite máximo de cumplimiento devenía inmodificable y no podía ser alterado. Ahora bien, las resoluciones impugnadas no afectan al límite de cumplimiento establecido, que no aparece comprometido ni modificado por la fecha de licenciamiento definitivo que se acuerda para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dicho criterio de cómputo sí se incorpora a una resolución judicial firme, el Auto de 23 de marzo de 1998, de forma decisiva para sustentar el sentido del fallo, en el que se acuerda que no procede la revisión de las penas tras la entrada en vigor del Código penal de 1995. Dicho Auto no se limitaba a comparar en abstracto los marcos punitivos aplicables, ni tampoco a posponer la decisión para un momento posterior, sino que vinculó la denegación de la revisión de las penas a la pérdida del derecho a obtener redenciones con posterioridad al 25 de mayo de 1996, lo que dijo expresamente, estableciéndola como determinarte para fijar la norma más favorable al demandante y ratio decidendi de la resolución adoptada. Esto es así en la medida en que es el criterio adoptado al elaborar la liquidación provisional de condena remitida por el centro penitenciario (cuyo contenido se incorpora a esta resolución y sirve de fundamento fáctico a la decisión) y porque sólo de ese modo puede entenderse más beneficioso —como hace el órgano judicial— el límite máximo de cumplimiento de treinta años previsto en el Código penal anterior frente al de veinticinco años establecido en el Código penal de 1995, y que hubiera resultado de aplicación al recurrente de no habérsele tenido en cuenta las redenciones de pena por trabajo. En efecto, de conformidad con lo establecido en el art. 76 CP 1995, el límite máximo de cumplimiento en este caso hubiera sido de veinticinco años, frente a los treinta años establecidos en el art. 70 CP 1973. Ahora bien, en la nueva regulación se eliminó la antigua institución de la redención de penas por el trabajo que había estado en vigor desde el Código penal de 1944, en los términos establecidos en el art. 100, hasta la entrada en vigor del Código penal de 1995. Y dado que el cómputo de las redenciones se efectuaba sobre ese límite máximo de treinta años, ello significaba una notable disminución del tiempo real de privación de libertad respecto de ese tope máximo. Esta es la lógica que el Auto incorpora a su decisión y lo que explica su afirmación de que el límite de cumplimiento de veinticinco años del nuevo Código penal no resultaría más beneficioso que el de treinta años resultante de la aplicación del Código penal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Auto de 23 de marzo de 1998 era la determinación de la ley aplicable al caso tras la entrada en vigor del Código penal de 1995, que había de ser la más favorable al reo, conforme a lo dispuesto en las disposiciones transitorias de dicho Código. Y el pronunciamiento judicial contenido en aquel fallo de 1998 establece que “no procede la revisión de las penas impuestas”. En las resoluciones recurridas en amparo no se replantea esta cuestión, ya que se ciñen a lo que era su objeto específico, el pronunciamiento sobre la aprobación de la liquidación de condena y el licenciamiento definitivo del penado, lo que rechazan en su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según se expuso anteriormente, la intangibilidad de lo decidido en una resolución judicial firme se proyecta al examen de las cuestiones que guardan con ella una relación de estricta dependencia, extendiéndose a aquellos extremos que constituyen su ratio decidendi y a los que, aun no constituyendo el objeto mismo del proceso, resultan determinantes o decisivos para la decisión adoptada. En el presente caso, puede afirmarse que el Auto de 23 de marzo de 1998 no sólo resuelve acerca de cuál es la ley aplicable ante la sucesión normativa generada por la entrada en vigor del nuevo Código penal, sino que al adoptar su decisión sobre la base de un determinado criterio de cómputo de las redenciones que resulta determinante para considerar más favorable el Código anterior (hasta el punto de que la aplicación del otro criterio posteriormente utilizado obligaría a modificar el sentido del fallo de esta resolución), está conformando la realidad jurídica relativa a la ejecución de la pena privativa de libertad y creando una situación jurídica consolidada no sólo respecto de la ley aplicable, sino también respecto del criterio de cómputo de las redenciones que sustenta su decisión. Un criterio conforme al cual ha venido ejecutándose la pena y cuya existencia no puede ser ignorada por el propio órgano judicial en decisiones posteriores, como las recurridas en amparo, sin hacer desaparecer la eficacia de su anterior resolución. En definitiva, aun siendo distinto su objeto, existe una estricta relación de dependencia entre lo resuelto por el citado Auto y las resoluciones recurridas en amparo, que impedía a éstas ignorar la realidad jurídica conformada por aquél en cuanto al criterio de cómputo de las redenciones, lo que nos conduce a afirmar que estas resoluciones desconocen la eficacia de lo resuelto con carácter firme e intangible por el Auto de 23 de marzo de 1998, vulnerando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obsta a lo anterior el hecho de que el cambio de criterio de la Audiencia Nacional en marzo de 2009 frente a su anterior decisión firme adoptada en 1998, se funde en la aplicación de un nuevo criterio interpretativo sentado por el Tribunal Supremo pocas semanas antes, pues los cambios de criterio jurisprudencial no pueden poner en cuestión la firmeza de la resolución anterior, ni justificar el desconocimiento de su eficacia y la vulneración del derecho a la intangibilidad de la realidad jurídica conformada por ella (STC 219/2000, de 18 de septiembre, FFJJ 6 y 7), lo que debió haber sido tenido en cuenta por el órgano judicial a la hora de determinar el alcance, en el caso concreto, del citado cambio de criterio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Pero nuestro pronunciamiento no puede agotarse en la declaración de la anterior vulneración, sino que ha de tomar en consideración las consecuencias que la misma tiene desde la perspectiva del derecho a la libertad (art. 17.1 CE)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 partir de la firmeza de lo decidido en el Auto de 23 de marzo de 1998 (dictada por el órgano judicial encargado de la ejecutoria y a quien correspondía determinar cómo y cuándo se cumple y se extingue la pena) y de la situación jurídica consolidada por la citada resolución en cuanto al modo de cómputo de la redención de penas por el trabajo, la pena se ha venido ejecutando durante años sobre las bases tomadas en consideración en el mismo: aplicación del antiguo Código penal y de la redención de penas por el trabajo, que determina el abono de un día por cada dos de trabajo, y cómputo de los días redimidos como tiempo de cumplimiento efectivo, a descontar del máximo legal de treinta años resultante de la acumulación de condenas. Lo que se ha plasmado en actos inequívocos de la administración penitenciaria: las hojas de cálculo en las que se van realizando las liquidaciones provisionales de condena teniendo en cuenta los abonos derivados de la redención de penas por trabajo practicados periódicamente por el Juez de vigilancia penitenciaria a propuesta del centro penitenciario; y señaladamente la de fecha 17 de febrero de 2009, que sirve de base a la propuesta de licenciamiento definitivo del penado para el día 9 de abril de 2009 elevada al órgano judicial por el Director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fecha, por tanto, en aplicación del marco legal existente en el momento de comisión del hecho delictivo y computando la redención de penas por el trabajo conforme al criterio firme e intangible establecido por el propio órgano judicial encargado de la ejecución, el recurrente había cumplido ya la pena que le fue impuesta. Por tanto, y aunque el recurrente fue privado legítimamente de libertad, una vez cumplida la pena en los términos anteriormente expuestos, nos encontramos ante una privación de libertad fuera de los casos previstos por la ley, pues el título que la legitimaba se ha extinguido. Por ello, el exceso de tiempo pasado en prisión constituye una privación de libertad carente de base legal y lesiva del derecho fundamental a la libertad consagrado en el art. 17.1 CE (STC 322/2005, de 12 de diciembre, FFJJ 2 y 3; STEDH de 10 de julio de 2003, Grava c. Italia §§ 44 y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Estado de Derecho no cabe prolongar la privación de libertad de una persona que ha cumplido ya la condena que se le impuso en su día, por lo que los órganos de la jurisdicción ordinaria han de adoptar, con la mayor celeridad posible, las resoluciones que procedan a fin de que cese la vulneración del derecho fundamental a la libertad y se proceda a la inmediata puesta en libertad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María Igarataundi Peñagaricano,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los derechos del demandante de amparo a la tutela judicial efectiva (art. 24.1 CE) y a la libertad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providencia de 3 de marzo de 2009 y el Auto de 1 de abril de 2009, dictados ambos por la Sección Primera de la Sala de lo Penal de la Audiencia Nacional, retrotrayendo las actuaciones al momento anterior al pronunciamiento de la primera de las resoluciones, para que se dicte la resolución que proceda en términos respetuosos con los citados derechos fundamentales, de conformidad con lo establecido en los fundamentos jurídicos 7 y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Magistrada doña Adela Asua Batarrita a la Sentencia dictada en el recurso de amparo núm. 4793-2009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presento Voto concurrente en el que comparto el fallo de la Sentencia dictada en el presente recurso de amparo, si bien discrepo de la fundamentación que conduce a rechazar alguna de las quejas planteadas por el recurrente en amparo, por lo cual en relación a tales discrepancias me remito a mi Voto también concurrente que formulé a la Sentencia dictada en el recurso de amparo núm. 4893-2006.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Luis Ignacio Ortega Álvarez a la Sentencia dictada en el recurso de amparo núm. 4793-2009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presento Voto concurrente en el que comparto el fallo de la Sentencia dictada en el presente recurso de amparo, si bien discrepo de la fundamentación que conduce a rechazar alguna de las quejas planteadas por el recurrente en amparo, por lo cual en relación a tales discrepancias me remito al Voto particular que formuló la Magistrada doña Adela Asua Batarrita a la Sentencia dictada en el recurso de amparo núm. 4893-2006, al que me he adherido.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