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1902-2002, promovido por el Consejo de Gobierno de la Junta de Andalucía contra el art. 24 y la disposición adicional vigésima de la Ley 24/2001, de 27 de diciembre, de medidas fiscales, administrativas y del orden social. Han comparecido y formulado alegaciones el Abogado del Estado y el Senado.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marzo de 2002, la Letrada de la Junta de Andalucía, en la representación que legalmente ostenta, interpuso recurso de inconstitucionalidad contra el art. 24 y la disposición adicional vigésima de la Ley 24/2001, de 27 de diciembre, de medidas fiscales, administrativas y del orden social (en adelante, Ley 24/2001), que se estiman contrarios a los arts. 9.3 y 149.3 de la Constitución, y 13.33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demandante que la disposición adicional vigésima, que atribuye al Estado la competencia para la autorización de “todo tipo de apuestas”, cuando el ámbito de desarrollo abarque el territorio nacional o “exceda de los límites de una concreta Comunidad Autónoma”, supone un quebranto del marco de distribución competencial proyectado en el bloque de la constitucionalidad, pues determina el ejercicio por el Estado de actuaciones sobre “cualquier tipo de apuestas”, incluso si éstas no tienen el carácter de deportivas, benéficas o mutuas. Esto incide en el ámbito competencial asumido por la Comunidad Autónoma de Andalucía, suponiendo una extralimitación del Estado. A partir de ahí, la tacha se fundamenta en los tres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con carácter general, se recuerda en el escrito de demanda la jurisprudencia constitucional en materia de juego, contenida en las SSTC 163/1994, de 26 de mayo; 164/1994, de 26 de mayo; 216/1994, de 20 de julio; 49/1995, de 16 de febrero, y 171/1998, de 23 de julio, para sostener que el precepto impugnado se refiere a un juego de naturaleza no asimilable a los que eran objeto de estas Sentencias, y respecto del que “no puede predicarse con la misma intensidad la afectación al ámbito del monopolio del Estado justificador de la competencia del art. 149.1.14, salvo que se pretenda llegar por este camino a la negación de la virtualidad de cualquier competencia de ‘ingreso’ de las Comunidades Autónomas”. Asimismo, se sostiene en el escrito de demanda que si bien las citadas sentencias consideran que el ingreso o resultado de la explotación del juego es competencia del Estado, sea porque se integra como ingreso público (SSTC 163/1994; 164/1994 y 216/1994), sea porque puede incidir sobre el ámbito de dicho monopolio (STC 171/1988), este planteamiento no es correcto, ya que “el planteamiento competencial correcto es el que se recoge en el voto particular formulado por el Magistrado Carles Viver Pi-Sunyer en la sentencia 163/1994, y que posteriormente reitera en la sentencia 171/1998. En primer lugar, porque la atribución constitucional de competencias no debe atender al resultado del ejercicio material de las mismas, sino a la actividad en si misma considerada ... de otro lado, porque también se expone en el citado voto particular [que] ni la potestad de gasto, ni la potestad de ingresos pueden convertirse en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título competencial contenido en el art. 149.1.14 CE sería insuficiente para amparar la competencia del Estado, pues el contenido y significado de este título ha evolucionado significativamente con posterioridad a las Sentencias citadas, de manera que el correcto entendimiento del mismo es como un título de coordinación, tal y como se afirmó en la STC 233/1999, de 13 de diciembre, FJ 41, y no como un título que se refiera únicamente a la hacienda del Estado. Así entendido, este título competencial no ampara la regulación contenida en el precepto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la intervención del Estado en esta materia no puede verse amparada sobre la base de la supraterritorialidad, pues una vez que todas las Comunidades Autónomas han asumido competencias en materia de juego y apuestas, el interés general o supraautonómico no puede identificarse con los ingresos que la explotación de una actividad de juego puedan suponer para la hacienda pública estatal. Tras recordar parte de la doctrina constitucional sobre la supraterritorialidad (con cita de las SSTC 329/1993 y 102/1995), se afirma en el escrito que en este supuesto es patente que el fenómeno del juego es susceptible de ser compartimentado, habiendo además otros mecanismos de coordinación alternativos al establecimiento de este punto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vigésima se reputa así inconstitucional por incidir en la materia juego con extralimitación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mayo de 2002, la Sección Cuarta de este Tribunal acordó admitir a trámite el recurso de inconstitucionalidad promovido por la Junta de Andalucía. Asimismo, acordó dar traslado de la demanda y documentos presentados, conforme al art. 34 de la Ley Orgánica del Tribunal Constitucional (LOTC), al Congreso de los Diputados y al Senado, por conducto de sus Presidentes, así como al Gobierno, a través del Ministro de Justicia, al objeto de que en el plazo de quince días puedan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mayo de 2002 el Abogado del Estado, en la representación que legalmente ostenta, se dirigió al Tribunal Constitucional personándose en el proceso y solicitó una prórroga del plazo concedido por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mayo de 2002 se registra un escrito de la Presidenta del Congreso de los Diputados comunicando al Tribunal el acuerdo de la Mesa de la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mayo de 2002 la Sección Cuarta de este Tribunal acordó incorporar a las actuaciones el escrito del Abogado del Estado de 21 de mayo de 2002 y concederle la prórroga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13 de junio de 2002 se registra el escrito mediante el cual el Abogado del Estado formula sus alegaciones en el presente recurso, proponiendo su desestimación por las razones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en relación con el reparto de competencias en materia de juego, el Abogado del Estado destaca que la demanda toma como punto de partida la denominada “tesis reduccionista”, que trataría de limitar la competencia del Estado en esta materia a la Lotería nacional, atribuyendo la competencia hacendística en todo lo demás a las Comunidades Autónomas, por considerar tales materias accesorias de la competencia en materia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el Abogado que la propia cita de la jurisprudencia hecha en la demanda (SSTC 163/1994, 164/1994, 216/1994 y 49/1995) es suficientemente ilustrativa “de la comprensión de las exacciones sobre el juego dentro de la competencia estatal sobre Hacienda General establecida en el art. 149.1.14 en razón de su naturaleza de fuente o recurso de la Hacienda estatal”, sin que ello suponga un menoscabo de la competencia exclusiva autonómica para organizar y autorizar la celebración de juegos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sostiene que los argumentos desplegados en la demanda en relación con la supraterritorialidad de la norma no son más que “una objeción abstracta, carente de la más mínima precisión o acotamiento de textos, y por tanto, desligada de la genuina naturaleza y objeto del recurso que se ejercita”. Rechaza en todo caso el argumento porque en este caso no habría atribución competencial alguna al Estado, sino que “los tributos sobre el juego son originarios del Estado y la definición del ámbito de la cesión es exclusiva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31 de mayo de 2002 se registra el escrito mediante el cual el Letrado de las Cortes Generales, actuando en representación y defensa del Senado, y que comparece ante el Tribunal en relación con el presente recurso, y con los recursos de inconstitucionalidad núm. 1847-2002, promovido por el Gobierno de la Generalitat de Cataluña, 1921-2002, promovido por el Consejo de Gobierno de la Junta de Comunidades de Castilla-La Mancha y 1937-2002, promovido por el Gobierno de Canarias, todos ellos relacionados con la Ley 24/2001, solicitando la acumulación de todos ellos, por estimar que cumplen los requisitos contenidos en el art. 83 LOTC. Asimismo, se solicita la suspensión del plazo concedido para formular alegaciones, lo que se justifica en que, frente a la práctica reiterada de no formular alegaciones, se ha producido un cambio de criterio por parte de la Mesa del Senado en lo que afecta a estos recursos, si bien las reglas concernientes a plazos de convocatoria de los órganos del Senado han llevado a que este cambio se manifieste estando ya muy avanzado el plazo fijado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12 de junio de 2002 se registra el escrito mediante el cual el Letrado de las Cortes Generales, comparece en relación con los recursos citados en el antecedente anterior, para solicitar la acumulación a éstos del núm. 1848-2002, promovido por Diputados del grupo parlamentario Socialista en el Congreso, contra la totalidad de la Ley 24/2001 y contra determinados preceptos de la misma. El Letrado da asimismo cuenta del acuerdo adoptado por la Mesa del Senado, en su reunión de 4 de junio de 2002, por la que se adoptó comunicar a este Tribunal que, para el caso de que se produzca la acumulación del recurso núm. 1848-2002 con el núm. 1390-1999, contra la Ley 50/1998, de medidas fiscales, administrativas y del orden social, el Senado da por reproducidas las alegaciones formuladas entonces en relación con la vulneración de preceptos constitucionales y reglamentarios sobre el procedimiento y competencia en lo que afecta a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junio de 2002, se acordó tener por personado al citado Letrado de las Cortes Generales, en representación del Senado, en el presente recurso de inconstitucionalidad, así como en los registrados con los núms. 1847-2002, 1848-2002, 1921-2002, 1937-2002, según interesa en su escritos de 30 de mayo y 12 de junio de 2002, accediendo a la suspensión que pide del plazo concedido para hacer alegaciones hasta tanto se resuelva sobre la acumulación de los mismos. Asimismo, acordó oír a los recurrentes y a las demás partes personadas para que en el plazo de diez días aleguen lo que estimen oportuno en relación con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205/2002, de 15 de octubre, el Pleno del Tribunal decidió no acceder a la acumulación solicitada, por no concurrir la necesaria conexión de objetos entre los distintos recursos (fundamento jurídico 2). Asimismo, se acuerda conceder un plazo de quince días a la representación del Senado para que pueda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8 de noviembre de 2002, el Letrado de las Cortes Generales, en la representación que legalmente ostenta, propugna la desestimación del recurso, con base en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silencio de la Constitución en la materia de juego no desapodera al Estado de esta competencia, como habrían venido a corroborar las SSTC 163/1994, 164/1994 y 216/1994, máxime cuando dicha competencia se refiere a un ámbito territorial estatal o superior 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propia jurisprudencia del Tribunal, y en particular la STC 171/1998, de 23 de julio, ha confirmado el anclaje de esta materia en el título de la “Hacienda Pública”, al afirmar que el monopolio fiscal se extiende a los demás juegos de suerte que pueden concurrir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17 de junio de 2008 la Letrada de la Junta de Andalucía, en la representación que legalmente ostenta, solicita tener por desistido al Consejo de Gobierno de la Junta de Andalucía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anterior escrito es posteriormente corregido por la Letrada de la Junta de Andalucía, mediante un segundo registrado el 20 de junio de 2008, por el que se solicita un desistimiento parcial del recurso, en cuanto exclusivamente referido a la impugnación del art. 24 de la Ley 24/2001.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24 de junio de 2008, el Pleno acuerda incorporar a los autos los escritos que presenta la Letrada de la Junta de Andalucía y oír al Abogado del Estado y al Senado para que, en el plazo de diez días, aleguen lo que estimen procedente en relación con la solicitud de desistimiento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1 de julio de 2008, el Abogado del Estado muestra su conformidad con la anterior subsanación del escrito de desistimiento, aceptando la rectificación en los términos pedidos por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el 7 de julio de 2008, el Abogado del Estado acepta el desistimiento parcial formulado por el Consejo de Gobierno de la Junta de Andalucía. El Senado no formuló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el ATC 279/2008, de 16 de septiembre, el Pleno del Tribunal acuerda tener por desistida parcialmente a la Junta de Andalucía del recurso de inconstitucionalidad núm. 1902-2002 por lo que se refiere al art. 24 de la Ley 24/2001, manteniéndose el recurso en cuanto a la impugnación de la disposición adicional vigésima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17 de abril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inconstitucionalidad, interpuesto por el Consejo de Gobierno de la Junta de Andalucía contra la disposición adicional vigésima de la Ley 24/2001, de 27 de diciembre, de medidas fiscales, administrativas y del orden social, coincide parcialmente con el resuelto en nuestra STC 35/2012, de 15 de marzo, que abordaba el recurso de inconstitucionalidad 1847-2002, promovido por el Gobierno de la Generalitat de Cataluña, contra el art. 24 y la disposición adicional vigésima de la misma ley. En la parte coincidente, el fundamento del recurso reposaba en la alegación de que la disposición adicional vigésima excedería de la competencia del Estado en materia de juego y apuestas, invadiendo en consecuencia la competencia en la materia de la Comunidad Autónoma de Cataluña. Asimismo, aducía la recurrente que el criterio de la supraterritorialidad de esta disposición, al referirse al juego cuyo ámbito territorial exceda de una Comunidad Autónoma, desconocería también el orden constitucional de reparto de competencias, ya que de acuerdo con la STC 223/2000, de 21 de septiembre, FJ 11, cualquier efecto supraterritorial de una competencia no implica que ésta haya de revertir al Estado. Por ello, y si bien éste es competente para fijar el punto de conexión (STC 72/1983, de 29 de julio, FJ 6), una vez que todas las Comunidades Autónomas han asumido competencias en materia de juego, el Estado no ostenta título competencial sobre la misma sobre la base de la extraterritorialidad.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y tras el desistimiento parcial de la Junta de Andalucía, aceptado mediante ATC 279/2008, de 16 de septiembre, se afirma la inconstitucionalidad de la disposición adicional vigésima de la Ley 24/2001. El fundamento del escrito de demanda, de forma similar al resuelto en la citada STC 35/2012, de 15 de marzo, reposa en la alegación de que el precepto impugnado supone una extralimitación del Estado, contraria al bloque de la constitucionalidad, con respecto a orden de distribución competencial entre el Estado y las Comunidades Autónomas en materia de juego y apuestas. En general, el citado precepto se recurre por estimarse contrario a la distribución de competencias entre el Estado y la Comunidad de Andalucía en materia de juego. En particular, se considera también inconstitucional que la intervención del Estado en esta materia se lleve a cabo sobre la base de la supraterritorialidad, para aquellos juegos que se desarrollen en un ámbito superior al de una Comunidad Autónoma, pero inferior 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vigésima. Competencia para la autorización de Apuestas a nivel nacional y en el ámbito territorial superior 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Estado, a través del Ministerio de Hacienda y, concretamente de la Entidad Pública Empresarial Loterías y Apuestas del Estado, ejercer la competencia, de conformidad con la normativa vigente, para la autorización del desarrollo de topo tipo de apuestas, cualquiera que sea el soporte de las mismas, boletos, medios informáticos o telemáticos, siempre que su ámbito de desarrollo, aplicación, celebración o comercialización abarque el territorio nacional o exceda de los límites de una concreta Comunidad Autónoma. Se autoriza al Ministerio de Hacienda para dictar cuantas disposiciones de desarrollo fueran necesarias para el mejor cumplimiento de lo previsto en la presente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es preciso poner de manifiesto, según quedó expuesto en el fundamento jurídico 2 de la misma Sentencia, que el presente recurso no ha perdido objeto, por tratarse de una controversia en cuyo fondo late una cuestión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precisar cuál debe ser el parámetro de control del presente recurso, pues resulta de aplicación nuestra doctrina sobre el ius superveniens, según la cual el control de las normas que incurren en un posible exceso competencial debe hacerse de acuerdo con las normas del bloque de la constitucionalidad vigentes en el momento de dictar Sentencia (STC 1/2011, de 14 de febrero, FJ 2, y doctrina allí citada). Ello determina que nuestro pronunciamiento deba dictarse a la luz de la delimitación de competencias que se deriva de la reforma del Estatuto llevada a cabo por la Ley Orgánica 2/2007, de 19 de marzo, de reforma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de inconstitucionalidad en los términos expuestos hay que señalar que la cuestión general que se suscita, relativa al reparto competencial de la materia juego entre el Estado y las Comunidades Autónomas, una vez examinada, debe reputarse resuelta por la doctrina que este Tribunal ha establecido en la citada STC 35/2012, de 15 de marzo, en cuyo fundamento jurídico 4 precisamos la delimitación competencial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constatamos en aquella Sentencia que la distribución competencial entre Comunidades Autónomas y Estado en materia de juego había sido ya resuelta en nuestra doctrina, además de asumida en el propio Estatuto de Autonomía de Cataluña, tras su reforma en 2006. Procede ahora trasladar las conclusiones alcanzadas en relación con el Estatuto de Autonomía de Cataluña al Estatuto de Autonomía de Andalucía, cuyo art. 81.1, tras la reforma estatutaria ya referida, implícitamente acepta la competencia del Estado sobre el juego desarrollado en el ámbito estatal, al establecer que “[c]orresponde a la Comunidad Autónoma la competencia exclusiva en materia de juegos, apuestas y casinos, incluidas las modalidades por medios informáticos y telemáticos, cuando la actividad se desarrolle exclusivamente en Andalucía”. En consecuencia, trasladando aquí las conclusiones alcanzadas en la Sentencia citada, debe rechazarse de plano la interpretación que hace la demanda del reparto de competencias en materia de juego, pues es evidente que el Estado sigue ostentado la competencia material en los juegos y apuestas cuyo ámbito sea estatal. Procede, por tanto, desestimar la primera parte de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supraterritorialidad, señalamos en la STC 35/2012, de 15 de marzo, FJ 5, que “no resultan evidentes las razones que justificarían la utilización de la supraterritorialidad como criterio determinante para la atribución de competencias al Estado. Cabe ciertamente pensar en otros mecanismos de cooperación, incluso entre Comunidades Autónomas, que pudieran dar solución a los eventuales problemas de efectos extraterritoriales en la materia del juego y apuestas, cuando su ámbito supere el autonómico y sea inferior al nacional, máxime al tratarse de una materia que admite el fraccionamiento en su ejercicio, sin que por tanto sea preciso atribuir su ejercicio a un único titular. En otras palabras, y como afirmamos en la ya citada STC 194/2011, de 13 de diciembre, FJ 6, bien que en relación a la materia laboral, el recurso a la técnica del desplazamiento de competencias al Estado, en el caso de efectos extraterritoriales del ejercicio de la competencia ejecutiva autonómica, no puede ser asumido como solución sin más. Incluso es de constatar que esta interpretación, de ausencia de necesidad o de justificación de la extraterritorialidad como criterio atributivo de competencia, ha sido asumida por el legislador estatal, de manera que la referencia al carácter supra autonómico de la actividad ha desaparecido tras la derogación de la disposición adicional vigésima, mediante la disposición derogatoria, apartado 2, inciso decimocuarto de la citada Ley 13/2011”.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tales consideraciones, concluimos la inconstitucionalidad de la citada disposición adicional vigésima, en cuanto al inciso “exceda de los límites de una concreta Comunidad Autónoma”, por suponer una vulneración del orden constitucional de competencias, al atribuírselas al Estado cuando el juego es de ámbito supra autonómico e inferior al nacional. La impugnación, por lo tanto, ha perdido su objeto con respecto de este motivo, puesto que no cabe pronunciarse acerca de la constitucionalidad de este inciso, recurrido por idénticos motivos y que ha sido ya expulsado del ordenamiento.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del presente recurso en relación con el inciso “o exceda de los límites de una concreta Comunidad Autónoma” de la disposición adicional vigésima de la Ley 24/2001, de 27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