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4606-2011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4606-2011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de 7 de diciembre de 2011, dictada por la Sección Primera en el recurso de amparo núm. 4606-2011.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17 de enero de 2012 el Ministerio Fiscal interpuso recurso de súplica contra la providencia de la Sección Primera, de fecha 7 de diciembre de 2011, que acordó inadmitir el recurso de amparo núm. 4606-2011, interpuesto por doña Ana Perea Vega contra las resoluciones que a continuación se identificarán.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presente recurso de súplica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escrito registrado en este Tribunal el 3 de agosto de 2011 doña Ana Perea Vega, representada por don Alfonso Lama Ortega, solicitó el nombramiento de Letrado y Procurador de turno de oficio a fin de interponer recurso de amparo contra la Sentencia de fecha 25 de mayo de 2011, dictada por la Sección Primera de la Sala de lo Contencioso-Administrativo del Tribunal Superior de Justicia de Andalucía, con sede en Sevilla, rectificada por Auto de fecha 17 de junio de 2011, que declaró haber lugar parcialmente, en el particular de la indemnización procedente, al recurso de apelación interpuesto contra la Sentencia dictada por el Juzgado de lo Contencioso-Administrativo núm.12 de los de Sevilla el 17 de septiembre de 2010, que había desestimado el recurso interpuesto por la demandante de amparo contra la resolución del Servicio Andaluz de Salud de fecha 19 de noviembre de 2008, recaída en el expediente núm. 8022.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efectuados los correspondientes nombramientos del turno de asistencia jurídica gratuita, el Procurador de los Tribunales don Ramón María Querol Aragón formuló demanda de amparo el 24 de octubre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fecha 7 de diciembre de 2011 la Sección Primera acordó por unanimidad inadmitir el presente recurso de amparo, con arreglo a lo previsto en el art. 50.1 a) de la Ley Orgánica del Tribunal Constitucional (LOTC), por no haber satisfecho la recurrente la carga que le incumbía de justificar la especial trascendencia constitucional del recurso —art. 49.1 LOTC—, que es algo más y distinto de la mera afirmación de que el propio derecho fundamental ha sido violado.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Notificada dicha providencia a la recurrente y al Ministerio público, este último ha impugnado en súplica la citada resolución. El Fiscal interesa la reconsideración de la decisión por entender que podría admitirse que la recurrente sí ha satisfecho la exigencia de “alegar y acreditar que el contenido del recurso justifica una decisión sobre el fondo por parte del Tribunal en razón de su especial trascendencia constitucional”, porque destina expresamente un apartado de la demanda “a dar cumplimiento a la exigencia impuesta por el art. 49.1 in fine LOTC, vinculando la especial trascendencia del recurso a la conveniencia de la necesidad de corregir el apartamiento en que incurren las resoluciones judiciales de la doctrina de este Tribunal Constitucional en relación con el derecho a la tutela judicial efectiva y el derecho a un proceso con todas las garantías, doctrina que habría sido ignorada por las resoluciones judiciales”. Por lo expuesto solicita que se deje sin efecto la providencia de inadmisión reseñada “sin perjuicio de adopción de la resolución procedente en orden a la admisión o no por otras causas del recurso de amparo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mediante diligencia de ordenación de fecha 18 de enero de 2012, acordó dar traslado a la parte demandante de amparo del recurso de súplica interpuesto por el Ministerio Fiscal para que, en el plazo de tres días, alegara lo que estimara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24 de enero de 2012 la representación procesal de la recurrente manifestó que se adhería íntegramente al recurso de súplica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examen de la demanda de amparo formulada pone de relieve, en contra del criterio defendido por el Ministerio Fiscal en su recurso de súplica, que la misma no cumple con la carga de justificar la especial trascendencia constitucional del recurso, según exige el art. 49.1 in fine de la Ley Orgánica del Tribunal Constitucional (LOTC) y ha perfilado la jurisprudencia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Sin necesidad de entrar en consideraciones adicionales, bastará recordar que en los Autos 188/2008, de 21 de julio, y 289/2008, de 22 de septiembre, este Tribunal ha tenido ocasión de analizar y pronunciarse sobre la nueva exigencia de fondo que para su admisibilidad, ex art. 49.1, han de cumplir las solicitudes de amparo presentadas tras la entrada en vigor de la Ley Orgánica 6/2007, de 24 de mayo, que reformó la Ley Orgánica del Tribunal Constitucional. En dichas resoluciones se ha puesto de manifiesto que la reforma legal ha establecido un nuevo régimen jurídico de admisibilidad de los recursos de amparo, pues desde su entrada en vigor el art. 50.1 LOTC dispone que sólo se acordará la admisión del recurso de amparo cuando concurran los siguientes requisitos: que la demanda cumpla con lo dispuesto en los artículos 41 a 46 y 49; y que el contenido del recurso justifique una decisión sobre el fondo por parte del Tribunal Constitucional en razón de su especial trascendencia constitucional. En consonancia con esta nueva exigencia de fondo, el art. 49.1 in fine LOTC establece: “En todo caso, la demanda justificará la especial trascendencia constitucional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STC 155/2009, de 25 de junio, identificamos, sin ánimo exhaustivo, determinados supuestos propiciadores de la apreciación de la “especial trascendencia constitucional” y, avanzando en la interpretación del requisito del art. 50.1 b) LOTC, acotamos (fundamento jurídico 2) el perfil abierto tanto de ese concepto como de los tres criterios que la propia ley ofrece para su caracterización (“su importancia para la interpretación de la Constitución, para su aplicación o para su general eficacia, y para la determinación del contenido y alcance de los derechos fundamentales”), facilitando a los recurrentes en amparo el cumplimiento de la carga justificativa que les impone el art. 49.1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aplicación de la anterior doctrina hemos acordado la inadmisión de la solicitud de amparo por incumplimiento de la exigencia legal señalada cuando el recurrente se ha limitado a exponer los hechos en que fundamenta su pretensión y a exponer las razones por las que considera que las resoluciones judiciales impugnadas han vulnerado su derecho (ATC 188/2008, de 21 de julio, FJ 4), y también cuando, expuesta argumentalmente la supuesta vulneración del derecho fundamental alegado, no hay mención en el escrito de demanda al requisito de la especial trascendencia constitucional del recurso interpuesto en cualquiera de los tres ámbitos a los que se refiere el art. 50.1 b) LOTC (ATC 289/2008, de 22 de septiembre, FJ 4). Hemos añadido, por último, que la carga de justificar la especial trascendencia constitucional del recurso de amparo es algo distinto a razonar la existencia de la vulneración de un derecho fundamental, pues esta última argumentación no es sino un presupuesto inexcusable en cualquier demanda de amparo, y no satisface, en sí misma, la carga procesal que analizamos.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tomado en consideración la fecha de la interposición de la demanda en relación con la fecha de la publicación de la STC 155/2009, el 28 de julio de 2009, atenuando el rigor en la valoración del cumplimiento de la carga justificativa de la especial trascendencia constitucional en las demandas interpuestas con anterioridad a esa fecha (AATC 4/2010 y 5/2010, de 14 de enero), pero esta flexibilidad no puede extenderse a la demanda de amparo rectora de este procedimiento constitucional dado que su registro se verificó en este Tribunal el día 24 de octubre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Partiendo de esa premisa, advertimos que la presente demanda no contiene una argumentación material sobre la especial transcendencia constitucional del recurso que pueda estimarse suficiente para entender cumplida la exigencia ineludible impuesta por el art. 49.1 in fine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ella, bajo el título “fundamentos de derecho jurídico materiales”, se desarrolla un único apartado, encabezado bajo el enunciado “especial trascendencia constitucional” en el que la recurrente, tras recordar el deber de los órganos judiciales de motivar sus resoluciones, como una exigencia que dimana del derecho a la tutela judicial efectiva, sitúa implícitamente el cumplimiento de su carga justificativa en la argumentación con la que sostiene la lesión del derecho fundamental alegado, confundiendo así la vulneración del derecho con la especial trascendencia constitucional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demandante no ha hecho el esfuerzo argumental que le es exigible (ATC 154/2010, de 15 de noviembre) para justificar que nos hallamos ante un caso de desconocimiento o de no acatamiento de la jurisprudencia de este Tribunal, como sostiene el Ministerio Fiscal, sino que se ha limitado a citar la doctrina constitucional y del Tribunal Europeo de Derechos Humanos sobre el deber de motivación de las resoluciones judiciales de forma retórica, sin ponerla en relación con el supuesto particular y sin exteriorizar en qué modo ha sido incumplida, insistiendo en la vulneración de su derecho como criterio que justifica la especial trascendencia constitucional, y centrándose en su situación personal y en la oportunidad de que el Tribunal confirme su propia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otras palabras, la recurrente no ha justificado una proyección objetiva del amparo solicitado que traduzca en el plano formal (art. 49.1 LOTC) la exigencia material y formal de la especial trascendencia constitucional del recurso de amparo establecida por el art. 50.1 b) LOTC como requisito de procedibilidad de la demanda (STC 69/2011, de 16 de mayo, FJ 3; y ATC 264/2009, de 16 de noviembre, FJ único). No ha ofrecido, dicho aún en otros términos, razonamiento alguno que permita advertir por qué el contenido del recurso de amparo justifica una decisión sobre el fondo en atención a su importancia para la interpretación, aplicación o general eficacia de la Constitución o para la determinación del contenido y alcance del derecho a la tutela judicial efectiva y a un proceso con todas las garantías —art. 24 CE—, lo que justifica la desestimación del recurso.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de 7 de diciembre de 2011, dictada por la Sección Primera en el recurso de amparo núm. 4606-2011.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