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24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7325-2010, promovido por don Luis María Lizarralde Izaguirre, representado por el Procurador de los Tribunales don Javier Cuevas Rivas, contra el Auto de 8 de julio de 2010 de la Sala de lo Penal del Tribunal Supremo, que inadmite el recurso de casación formalizado por el recurrente contra el Auto de 16 de diciembre de 2009 de la Sección Tercera de la Sala Penal de la Audiencia Nacional que , conforme a la doctrina de la Sentencia del Tribunal Supremo (Sala Segunda) núm. 197/2006, de 28 de febrero, desestima el recurso de súplica deducido por aquel frente a la providencia de 18 de noviembre de 2009 de la Sección Tercera de la Sala Penal de la Audiencia Nacional (expediente de refundición núm. 6-1998, dimanante de la ejecutoria núm. 60-1996, del sumario núm. 1-1981 del Juzgado Central de Instrucción núm. 5) que aprobaba el licenciamiento definitivo del actor para el día 9 de mayo de 2022. Ha intervenido el Ministerio Fiscal. Ha sido Ponente el Magistrado don Ramón Rodríguez Arribas,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octubre de 2010 don Luis María Lizarralde Izaguirre, representado por el Procurador de los Tribunales don Javier Cuevas Rivas, interpuso recurso de amparo contra las resoluciones a las que se ha hecho referencia en el encabezamiento de esta sentencia, por vulneración de sus derechos a la tutela judicial efectiva (art. 24.1 CE), en su vertiente de intangibilidad de las resoluciones judiciales firmes en conexión con la observancia de los principios de seguridad jurídica e irretroactividad (art. 9.3 CE); y a la libertad personal (art. 17.1 CE); así como por infracción de los principios de reeducación y reinserción social de las penas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integrante del comando “Donosti” (1981) de la organización terrorista ETA, resultó ejecutoriamente condenado por Sentencia de la Audiencia Nacional núm. 22/1996, de 24 de abril de 1996 (sumario 1-81 del Juzgado Central de Instrucción núm. 5), como autor de dos delitos de asesinato con alevosía, uno consumado y otro en grado de frustración concurriendo la circunstancia agravante de premeditación, a las penas de veintiséis años de reclusión mayor y dieciséis años de reclusión respectivamente. De igual manera, mediante Sentencia de la Audiencia Nacional núm. 37/1995, de 23 de junio de 1995 (sumario 184-81 del Juzgado Central de Instrucción núm. 4), fue condenado como autor de un delito de asesinato con alevosía y premeditación a la pena de veintiocho años de reclusión mayor, a la pena de cuatro años de prisión por un delito de utilización ilegítima de vehículo de motor ajeno con empleo de intimidación, y a la pena de tres meses de arresto mayor por un delito de coacciones.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28 de enero de 1998 de la Sección Tercera de la Sala de lo Penal de la Audiencia Nacional (expediente refundición núm. 6-1998) se acordó acumular las condenas impuestas al actor, “fijándose en una duración de treinta años de privación de libertad el tiempo total de cumplimiento de todas las penas privativas de libertad impuestas en las causas expresadas”, resolución que devino firme y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septiembre de 2009, el Director del centro penitenciario de Burgos elevó propuesta de licenciamiento definitivo en la que, con mención de los días de prisión preventiva y de redenciones ordinaria y extraordinaria, concluía que la fecha de extinción con redención pudiera ser el 26 de noviembre de 2009, si bien señalaba como fecha de extinción sin redención el 9 de mayo de 2022, significando que “el citado penado pude (sic) estar incluido dentro de los criterios de la Sentencia del Tribunal Supremo de 28/02/2006 (doctrina Parot), dejando a su superior criterio si procede adoptar esta nueva doctrina”. Posteriormente, tras interesarlo la Audiencia Nacional en escrito de 22 de octubre de 2009, el Director del centro penitenciario de Burgos elevó, con fecha 26 de octubre de 2009, nueva propuesta de licenciamiento definitivo en la que se fija la extinción de condena sin redención para el día 9 de mayo de 2022. De esta manera, mediante providencia de 18 de noviembre de 2009, la Sección Tercera de la Sala de lo Penal de la Audiencia Nacional aprobó el licenciamiento definitivo del penado para el día 9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interpuso recurso de súplica contra la anterior providencia, al estimar que infringía su derecho a la tutela judicial efectiva en relación con los principios de seguridad jurídica, irretroactividad de las normas e intangibilidad de resoluciones judiciales firmes, así como de su derecho a la libertad. En Auto de 16 de diciembre de 2009 la Sección Tercera de la Sala de lo Penal de la Audiencia Nacional desestimó el recurso por cuanto “la interpretación de las normas efectuada por la parte no puede primar sobre la interpretación que de las mismas efectúa la jurisprudencia del Tribunal Supremo, y que es la que esta Sala ha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el referido Auto se anunció por la representación del recurrente recurso de casación (art. 988 de la Ley de enjuiciamiento criminal) por infracción de precepto constitucional (arts. 9.3, 17.1 24.1 y 25. 2 CE) y legal [arts. 70.2 y 100 del Código penal (CP) de 1973]. Mediante Auto de 23 de febrero de 2010 se tuvo por preparado el recurso de casación, si bien el Auto del Tribunal Supremo (Sala de lo Penal) de 8 de julio de 2010 acordó no haber lugar a la admisión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alegar el cumplimiento de los requisitos formales, justifica la trascendencia constitucional en la novedad y necesidad de un pronunciamiento sobre la doctrina de la STS (Sala Segunda) núm. 197/2006, de 28 febrero (“doctrina Parot”), la cual, contra un consolidado criterio jurisprudencial, computa la redención de penas por el trabajo, no sobre la pena acumulada, sino sobre cada una de las impuestas, haciendo desaparecer las redenciones y beneficios ya firmes, afectándose así la tutela judicial, el principio de legalidad, la seguridad jurídica y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vulnerado el derecho al proceso con las debidas garantías y a la tutela judicial efectiva (arts. 24.1 CE) en su vertiente de intangibilidad de las resoluciones judiciales firmes en conexión con la observancia de los principios de seguridad jurídica e irretroactividad (art. 9.3 CE). Considera que las resoluciones que se recurren conllevan una alteración del Auto de 28 de enero de 1998 de la Sección Tercera de la Sala de lo Penal de la Audiencia Nacional, resolución judicial firme por virtud de la cual se aprobó la refundición de condenas al recurrente, en aplicación de lo dispuesto en los arts. 70.2 y 100 CP 1973, y se fijó como límite en el cumplimiento las diversas penas en el de treinta años, pena resultante sobre la que habrían de operar los beneficios y redenciones penitenciarias.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vulnerado el derecho a la libertad personal (art. 17.1 CE) por cuanto las resoluciones que se recurren conllevan el vaciamiento absoluto de contenido de la figura de la redención de penas por el trabajo, haciéndola inoperante y acarreando un alargamiento legítimo de la permanencia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que se ha infringido el art. 25.2 CE por vulneración del principio de que las penas deben ir orientadas a la reeducación y reinserción social en conexión con la dignidad del ser humano (art. 10 CE) y el principio de humanidad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2011, la Sala Segunda del Tribunal Constitucional admitió a trámite el recurso de amparo recabando las actuaciones, con emplazamiento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ordenación de la Secretaría de Justicia de la Sala Segunda del Tribunal Constitucional de 13 de octubre de 2011, se acordó reiterar el testimonio de las actuaciones y de los emplazamientos a la Sección Tercera de la Sala de lo Penal de la Audiencia Nacional. En diligencia de ordenación de la Secretaría de Justicia de la Sala Segunda del Tribunal Constitucional de 24 de noviembre de 2011, se acordó remitir nuevamente la demanda de amparo a la Sección Tercera de la Sala de lo Penal de la Audiencia Nacional a fin de que procediese a realizar los emplazamientos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14 de febrero de 2012 el Fiscal ante el Tribunal Constitucional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y jurídicos del caso, considera que con el nuevo criterio interpretativo operado por las resoluciones judiciales recurridas se ha ocasionado un evidente perjuicio penológico al demandante de amparo. Si bien afirma que las liquidaciones de condena no parece que puedan ser clasificadas como resoluciones judiciales de naturaleza intangible, habida cuenta de la extremada fluidez de la vida de cumplimiento penitenciario cuando entra en juego la institución de retención de penas, sí que reputa como firme e intangible el Auto en el que se fija la refundición de penas. Señala que, establecidos unos criterios para fijar la refundición y ejecución de condena en el Auto de 28 de enero de 1998, éstos no pueden variarse en virtud de una posterior resolución por vía de remisión a una interpretación diferente de las normas atinentes, por lo que considera que se ha vulnerado el derecho a la intangibilidad de la resoluciones judiciales (art. 24.1 CE) engarzándolo con el principio de legalidad (art. 25.1 CE) en relación con la prohibición de retroactividad de las normas penales perjudiciales para el reo (art. 9.3 CE) y con la vulneración del derecho a la libertad personal (art. 17.1 CE), al haberse creado ex novo un nuevo marco paranormativo que ha causado una extensión de la fecha de licenciamiento del interno y una revisión en la aplicación de los beneficios de la redención de penas. Rechaza el Fiscal, sin embargo, la invocación del art. 25.2 CE, por cuanto este precepto no contiene un derecho fundamental invocable en amparo, sino un mandato dirigido al legislador para orientar la política penal y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2012, el Pleno, de conformidad con lo establecido en el art. 10.1 n) de la Ley Orgánica del Tribunal Constitucional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22 de mayo de 2012 se señaló para la deliberación y votación de la presente Sentencia el día 24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el Auto de 8 de julio de 2010 de la Sala de lo Penal del Tribunal Supremo, que inadmite el recurso de casación formalizado por el recurrente contra el Auto de 16 de diciembre de 2009 de la Sección Tercera de la Sala Penal de la Audiencia Nacional que desestima el recurso de súplica deducido por aquél frente a la providencia de 18 de noviembre de 2009 de la Sección Tercera de la Sala Penal de la Audiencia Nacional (expediente de refundición núm. 6/1998, dimanante de la ejecutoria núm. 60-1996, del sumario núm. 1-81 del Juzgado Central de instrucción núm. 5) que aprobaba el licenciamiento definitivo del actor para el día 9 de mayo de 2022, al aplicar el criterio de la Sentencia del Tribunal Supremo (Sala Segunda) núm. 197/2006, de 28 de febrero (cómputo de los beneficios y redenciones penitenciarias sobre cada una de las penas y no sobre la resultante de la acumulación), ha lesionado los derechos fundamentales del recurrente a la tutela judicial efectiva (art. 24.1 CE), en su vertiente de intangibilidad de las resoluciones judiciales firmes en conexión con la observancia de los principios de seguridad jurídica e irretroactividad (art. 9.3 CE); a la libertad personal (art. 17.1 CE); y si ha infringido los principios de reeducación y reinserción social de las penas (art. 25.2 CE), con los argumentos que han sido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las razones reseñadas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del derecho a la tutela judicial efectiva (art. 24.1 CE) en su vertiente de intangibilidad de las resoluciones judiciales firmes se denuncia la cuestión de fondo, esto es, la aplicación al presente caso de un nuevo criterio jurisprudencial en la interpretación de los arts. 70.2 y 100 del Código penal (CP) de 1973 en relación con el cómputo de la redención de penas por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4). Un cambio de doctrina cuya aplicación al presente caso por la Audiencia Nacional implica que, si bien conforme al cómputo de las redenciones de penas por trabajo usado hasta ese momento el recurrente vería que las reducciones correspondientes al trabajo se aplicarían al límite máximo de treinta años, en aplicación del nuevo criterio se restarían de la suma total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de ello se deriva la vulneración del derecho a la libertad (art. 17.1 CE) y del derecho a la tutela judicial efectiva (art. 24.1 CE), en relación con los principios de seguridad jurídica e irretroactividad, a la vista de lo cual, hemos de comenzar precisando cuáles son los derechos fundamentales en juego y cuál ha de ser nuestro parámetro de enjuiciamiento en esta materia. No obstante, con carácter previo, conviene aclarar que no es objeto del presente recurso de amparo la Sentencia 197/2006, de 28 de febrero, dictada por la Sala Segunda del Tribunal Supremo, sino que nuestro examen se ha de limitar a la consideración de la respuesta judicial que para el caso concreto se contiene en las resoluciones recurridas, en las que se acuerda la aplicación del criterio de cómputo de las redenciones establecido con carácter previo por la citada STS 197/1996.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CP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Dado que en el presente procedimiento no se impugna la Sentencia del Tribunal Supremo de 28 de febrero de 2006 ni cabe entrar a examinar si ésta se ha apartado o no de sus precedentes vulnerando el art. 14 CE. Y por lo que respecta a las resoluciones impugnadas, se limitan a aplicar la doctrina sentada en aquella Sentencia del Tribunal Supremo, máximo intérprete de la ley, justificando el cambio de criterio en el cómputo de las redenciones de penas por el trabajo, frente a otros supuestos resueltos con anterioridad, precisamente en la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europeo para la protección de los derechos humanos y de las libertades fundamentales,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que se impugnan en el presente procedimiento de amparo vulneró su derecho a la tutela judicial efectiva (art. 24.1 CE) y como consecuencia de ello su derecho a la libertad (art. 17.1 CE), lo que —según se argumenta en los motivos de amparo primero y segundo— habría sucedido al aplicar un nuevo criterio de cómputo de la redención de penas por el trabajo que ignora la existencia de una legítima expectativa, fundada en el criterio que se venía siguiendo de forma unánime por los Tribunales y en una resolución judicial firme e intangible, de que las reducciones correspondientes al trabajo se aplicarían al límite máximo de treinta años y no a la suma total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(SSTC 15/2006, de 16 de enero, FJ 6; )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 El recurrente, integrante del comando “Donosti” (1981) de la organización terrorista ETA, resultó ejecutoriamente condenado por Sentencia de la Audiencia Nacional núm. 22/1996, de 24 de abril (sumario 1-81 del Juzgado Central de Instrucción núm. 5), como autor de dos delitos de asesinato con alevosía, uno consumado y otro en grado de frustración concurriendo la circunstancia agravante de premeditación, a las penas de veintiséis años de reclusión mayor y dieciséis años de reclusión respectivamente. De igual manera, mediante Sentencia de la Audiencia Nacional núm. 37/1995, de 23 de junio (sumario 184-81 del Juzgado Central de Instrucción núm. 4), fue condenado como autor de un delito de asesinato con alevosía y premeditación a la pena de veintiocho años de reclusión mayor, a la pena de cuatro años de prisión por un delito de utilización ilegítima de vehículo de motor ajeno con empleo de intimidación, y a la pena de tres meses de arresto mayor por un delito de coacciones.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28 de enero de 1998 de la Sección Tercera de la Sala de lo Penal de la Audiencia Nacional (expediente refundición núm. 6-1998) se acordó acumular las condenas impuestas al actor, “fijándose en una duración de treinta años de privación de libertad el tiempo total de cumplimiento de todas las penas privativas de libertad impuestas en las causas expresadas”, resolución que devino firme y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septiembre de 2009 el Director del centro penitenciario de Burgos, elevó propuesta de licenciamiento definitivo en la que, con mención de los días de prisión preventiva y de redenciones ordinaria y extraordinaria, concluía que la fecha de extinción con redención pudiera ser el 26 de noviembre de 2009, si bien señalaba como fecha de extinción sin redención el 9 de mayo de 2022, significando que “el citado penado puede (sic) estar incluido dentro de los criterios de la Sentencia del Tribunal Supremo de 28/02/2006 (doctrina Parot), dejando a su superior criterio si procede adoptar esta nueva doctrina”. Posteriormente, tras interesarlo la Audiencia Nacional en escrito de 22 de octubre de 2009, el Director del centro penitenciario de Burgos elevó nueva propuesta de licenciamiento definitivo con fecha 26 de octubre de 2009 en la que se fija la extinción de condena sin redención para el día 9 de mayo de 2022. De esta manera, mediante providencia de 18 de noviembre de 2009, la Sección Tercera de la Sala de lo Penal de la Audiencia Nacional se aprobó el licenciamiento definitivo del penado para el día 9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interpuso recurso de súplica contra la anterior providencia, al estimar que infringía su derecho a la tutela judicial efectiva en relación con los principios de seguridad jurídica, irretroactividad de las normas e intangibilidad de las resoluciones judiciales firmes, así como de su derecho a la libertad. En Auto de 16 de diciembre de 2009 la Sección Tercera de la Sala de lo Penal de la Audiencia Nacional desestimó el recurso por cuanto “la interpretación de las normas efectuada por la parte no puede primar sobre la interpretación que de las mismas efectúa la jurisprudencia del Tribunal Supremo, y que es la que esta Sala ha aplicado”. Contra el referido Auto se anunció por la representación de la recurrente recurso de casación (art. 988 de la Ley de enjuiciamiento criminal), por infracción de precepto constitucional (arts. 9.3, 17.1, 24.1 y 25. 2 CE) y legal (arts. 70.2 y 100 CP 1973). Mediante Auto de 23 de febrero de 2010 se tuvo por preparado el recurso de casación, si bien el Auto del Tribunal Supremo (Sala de lo Penal) de 8 de julio de 2010 acordó no haber lugar a la admisión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ninguna de las resoluciones judiciales a las que se refiere el recurrente puede derivarse, en el presente caso, el efecto de intangibilidad respecto al criterio de cómputo de las redenciones pretendido. En concreto, el Auto de 28 de enero de 1998 que acordó la acumulación de las penas impuestas por ambas Sentencias “fijándose en una duración de treinta años de privación de libertad el tiempo total de cumplimiento de todas las penas privativas de libertad impuestas en las causas expresadas”, no dejó sin efecto las redenciones, ni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Luis María Lizarralde Izaguirre.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7325-2010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STC 40/2012, de 29 de marzo,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