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1714-2009, promovido por don Francisco Real Granado, representado por la Procuradora de los Tribunales doña Pilar Marta Bermejillo de Hevia y asistido por la Abogada doña Carmen Barca Durán, contra la Sentencia de la Audiencia Provincial de Cádiz (Sección Tercera) de 24 de noviembre de 2008, dictada en rollo de apelación 170-2008, por la que se revoca la absolución acordada por la Sentencia de 29 de octubre de 2007 dictada por el Juzgado de lo Penal núm. 4 de Cádiz en juicio rápido núm. 274-2007, y condena el recurrente como autor de los delitos de malos tratos y coacciones; y contra la providencia de la Audiencia Provincial de 12 de enero de 2009, que inadmite a trámite el incidente de nulidad de actuaciones interpuesto contra la Sentencia citada.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febrero de 2009, la Procuradora de los Tribunales doña Pilar Marta Bermejillo de Hevia, en representación de don Francisco Real Granado y asistido por la Abogada doña Carmen Barca Durán, interpuso recurso de amparo contra las resoluciones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Penal núm. 4 de Cádiz de 29 de octubre de 2007 absolvió al recurrente de los delitos de malos tratos en el ámbito familiar y coacciones. Los hechos declarados probados son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“Unas dos semanas antes del 12 de junio de 2007, Francisco encargó a un tercero cambiar la cerradura de un garaje-trastero del que era usuario ubicado en la calle Veracruz de Rota, junto al domicilio que habitaba XXX. Francisco le hizo llegar a XXX copia de las llaves. Se desconoce si XXX, que no conducía vehículos en aquellas fechas, daba al garaje-trastero algún uso a dicho garaje. En un periodo en el que ambos se hallaban muy enfrentados acerca de las medidas que debían tomarse a propósito de los gastos de los hijos, concretamente el 12 de junio de 2007, coincidiendo que ambos se encontraron en el garaje sito en el edificio donde vivía XXX en la Calle Veracruz, en Rota, se entabló fuerte discusión entre ellos en la que XXX le reprochó a Francisco que se negara a acceder al pago de las cantidades que ella le exigía. Ante la negativa de Francisco, XXX soltó los cinturones de seguridad que sujetaban a su hija a fin de impedir que Francisco estuviera con la menor. Al final de ese día XXX presentaba en el brazo unos hematomas que a simple vista coincidían con los que podrían haber causado con la presión de las yemas de los dedos de una 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absolución se fundó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supuesta coacción, los hechos expuestos en la relación de hechos probados son admitidos por ambas partes, de modo que la cuestión que se plantea es la de determinar si el cambio de aquella cerradura constituyó un acto de coacción por haberse realizado con la intención de impedir el ejercicio de la libertad a la denunciante. La respuesta que se impone es la negativa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denunciada admite que en aquellas fechas, ni conducía, ni tenía vehículo, lo cual limita mucho sus posibilidades de uso del garaje-trastero; se ha alegado mucho en juicio que allí tenía patatas, sacos de dormir, leña y juguetes de los niños; no resulta razonable pensar que el no poder disponerse de tales objetos equivalga a limitación de la libertad de movimiento con trascendencia penal, pues a) unas patatas constituyen un alimento al alcance de cualquier ciudadano sin necesidad de gran desembolso económico; b) acerca de los sacos de dormir, no se alega una salida de acampada al aire libre; c) respecto de la leña, no parece probable que en la primavera-verano en la que ocurren los hechos se fuera a hacer uso de ella; d) en cuanto a los juguetes de los niños, los mismos no se concretan, lo cual impide valorar el grado de limitación de la libertad; y e) es más, la propia denunciante reconoce en juicio que desde junio —que como luego veremos ya se le entregó la nueva llave a través de la asistenta— no ha vuelto a abrir la puerta;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testigo aportado por el acusado, aunque no muy fiable, refiere que la cerradura estaba averiada, lo cual apunta a que la intención era la de repararla;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denunciada no ha dejado constancia alguna de su oposición al cambio de la cerradura; adviértase que ni siquiera denunció los hechos cuando ocurrieron, lo cual apunta a que pudo aprobar el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denunciada admite que al cabo de unos días el acusado le entregó voluntariamente la llave;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Todos admiten que el cambio de la cerradura afectó a una puerta auxiliar del garaje pues se podía entrar en él por la puerta principal al no estar bloqueada;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aunque se ha referido mucho en juicio que fue el hijo común quien insistió al padre que permitiera la entrada en el garaje para coger juguetes; no se comprende el motivo de hacer esa afirmación de referencia a la vez que se priva a este Juzgador de toda posibilidad de corroborarlo.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por tanto que nos hallamos ante un cambio de cerradura encargado por el propietario-conductor en el que no se aprecia debidamente intencionalidad de impedir a la víctima la realización de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agresión, veamos cual es la prueba practicada, no sin antes indicar que el acusado niega la existencia de la agresión. Procede examinar la prueba fundamental que es la testifical de la propia denunciante. De dicha testifical han de analizarse las tres circunstancias jurisprudencialmente exigidas.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declaración concurren circunstancias que exigen extremar la prudencia, en concreto: 1) la testigo, perjudicada por los hechos, se halla personada en las actuaciones solicitando indemnización civil por daños morales; tal circunstancia hace que tenga gran interés en la condena del acusado; 2) aquella reconoce haber mantenido pleito civil con solicitud de medidas matrimoniales de modo casi simultáneo a la interposición de la denuncia, luego puede estar utilizando la causa penal como instrumento de presión; 3) asimismo reconoce su resentimiento hacia su ex cónyuge criticando con insistencia el aprovechamiento patrimonial que ha ejercido sobre ella (refiere como ‘él dominaba todo’, ‘todo a su nombre como privativo, ella no tiene nada a su nombre y por eso él le coacciona’) o su comportamiento personal (refiere que ha sido ‘amenazada, coaccionada e intimidada”, que “él todo lo hacía para fastidiarla a ella’); 4) aquella siendo Letrada debe ser gran conocedora de las circunstancias importantes a efectos probatorios, y lo demostró en juicio respondiendo numerosas veces sin espontaneidad, ya porque se pensara mucho la respuesta (cuando se le preguntó si sus familiares vieron la agresión) ya porque respondiera sobre extremos ajenos a aquellos a los que se refería la pregunta (teniendo que advertirle numerosas veces este Juzgador que o bien se le había preguntado sobre otro particular o que se limitara a manifestar si era cierto o no lo que se le preguntaba); 5) e incluso, en el acto de juicio, la denunciante ha llegado a manipular circunstancias incurriendo en alguna contradicción, así cuando refiere el motivo por el que se opuso a que el denunciado se marchara con la hija dijo en un primer momento que fue para evitar algún mal a la hija o accidente dado el estado de nerviosismo del padre (dijo ‘dio miedo que se llevara a la hija porque podía darle un porrazo’), si bien luego da una versión diferente consistente en que se opuso a que se llevara a la hija como medida frente a la negativa del denunciado a satisfacer los gastos de los hijos (dijo ‘como tu no das nada entonces no te llevas a la niña’).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declaración, aunque persistente, inculpa sobre un episodio tan puntual (una presión instantánea sobre un brazo) que hace que a efectos judiciales resulte de difícil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autoría de la lesión no se corrobora con elementos periféricos, pues a falta de la exploración de la menor que supuestamente presenció ese hecho supuestamente ocurrido en la privacidad que permite una dependencia cerrada, lo cierto es que no se puede descartar que la lesión se la hubiera podido causar otra persona en el intervalo que medió entre la discusión y la llegada al centro médico horas más tarde. No se puede considerar elemento periférico de prueba (por la desconfianza que genera su emisión) la versión de la testigo […], que, a pesar de admitir que le falla mucho la memoria (para evitar contestar a alguna pregunta de la defensa) recuerda con extraña facilidad que oyó al denunciado decir ‘ahora me denuncias’.”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acusación particular se interpuso recurso de apelación, que fue estimado por la Audiencia Provincial de Cádiz, condenando al recurrente como autor de una falta de coacciones y un delito de malos tratos en el ámbito familiar a las penas, por cada delito, de nueve meses de prisión con privación del derecho a la tenencia, porte de armas por tiempo de un año y un día y prohibición de aproximación a menos de 200 metros de la víctima o su domicilio así como a comunicar con ella por tiempo de un año y nueve meses. La Sentencia del órgano de apelación modificó los hechos probados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“Unas dos semanas antes del 12 de junio de 2007, Francisco que era usuario del garaje contiguo a la vivienda de la calle Veracruz de Rota, vivienda usada provisionalmente por su ex esposa y sobre cuya titularidad existía controversia entre ambos, con la finalidad de incomodarla e impedirle usar la puerta de comunicación interior con el garaje y trastero, mandó cambiar la cerradura de la puerta de comunicación interior de la vivienda con el garaje, puerta que era exclusivamente utilizada por ésta y sus hijos para acceder tanto al trastero como al propio garaje donde se materializaba en ocasiones, la entrega de los hijos menores cuando se ejercía por el padre el régimen de visitas, no entregándole la llave que le permitía el acceso desde la vivienda al interior de la zona de garaje y trastero a su ex esposa hasta varios días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doce de junio de 2007, sobre las 17 horas, con motivo de acudir el acusado al garaje indicado a recoger a su hija de 6 años de edad, para gozar de su compañía, se produjo una discusión con su ex esposa motivada por las discrepancias entre ambos respecto de la contribución a los gastos de los hijos, y como quiera que la situación se puso tensa, XXX optó por llevarse a la niña para lo cual introdujo su cuerpo en el vehículo del acusado con intención de soltarle el cinturón de seguridad, instante en que el acusado, para hacerla desistir de su propósito, la agarró por el brazo con violencia y se lo retorció diciéndole a continuación ‘ahora si quieres me denuncias’.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agresión XXX fue atendida en el servicio de salud a las 20,50 horas presentando ansiedad y 4 hematomas de aproximadamente 5x2 cms. en su totalidad, en cara interna del brazo izquierdo ocasionados por la presión de los dedos, erosiones superficiales en antebrazos y dolor a la movilización del hombro izquierdo, lesiones que tardaron en curar 15 días con dos de impedimento para sus ocupaciones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se fundó en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trasladados tales criterios al caso de autos estimamos que procede la revocación de la sentencia en cuanto se absuelve al acusado de los delitos de coacciones leves y maltrato de obra en el ámbito de la violencia de género por el que era acusado y ello por cuanto en lo que atañe al delito de coacciones el razonamiento resulta ilógico y absurdo pues de una parte se está desconfiando de la credibilidad del testigo de la defensa en orden a la justificación de la necesidad de cambiar la cerradura para en contradicción con ello admitir que estaba averiada, y de otra, se pasa por alto que incluso en el caso de estar ésta efectivamente averiada, el cambio de la misma, unido al retardo en la entrega de una copia de la llave, dado que tal puerta era de comunicación interior y exclusivamente utilizada por los moradores de la vivienda, no podía tener otra finalidad que la de impedir a éstos el acceso por la misma hacia el trastero.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Concurren pues todos los elementos de la falta de coacciones, impedir mediante la vis in rebus representada por el cambio de la cerradura, el acceso desde el interior de la vivienda al trastero, coacción que pese a merecer la condición de leve, por efecto del artículo 172.2 del Código Penal, al dirigirse contra la esposa alcanza la categoría de delito y a la que es de aplicación el subtipo agravado por cometerse en el domicilio de la víctima. Resulta indiferente que los objetos depositados en el trastero fueran o no fácilmente sustituibles en el mercado, lo esencial es que se privó a la víctima de la facultad de ejercer libremente la posesión sobre el trastero.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maltrato familiar del artículo 153 del Código Penal discrepamos igualmente de la conclusión obtenida por el Juez a quo, las valoraciones que a éste le hacen dudar de la credibilidad de la principal testigo de cargo, o bien son de todo punto inadmisibles por el prejuicio y discriminación que conllevan, como el hecho de su condición de letrada, o resultan erróneas como lo es el dato apuntado del posible móvil espurio representado por un supuesto afán indemnizatorio, por ello, si la versión dada está avalada además con el dato objetivo de las lesiones constadas, las cuales objetivamente se corresponden o son perfectamente compatibles con el mecanismo causante descrito por la víctima y además contamos con el testimonio de la tía de la víctima que aun cuando no pudo presenciar directamente la agresión si relata lo que oyó y la reacción inmediata posterior tanto de la menor como del propio acusado, la relación causal entre las lesiones padecidas y el mecanismo causante descrito se obtiene sin dificultad debiendo encajarse los hechos en el marco del delito del artículo 153.1 del Código Penal con la aplicación del tipo cualificado de cometerse en presencia de la hija menor y en el domicilio de la víctima, al ser el garaje donde se perpetró una dependencia aneja y en comunicación interior con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el actor incidente de nulidad de actuaciones, que fue inadmitido por providencia de 12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los derechos a un proceso con todas las garantías (art. 24.2 CE), a la presunción de inocencia (art. 24.2 CE) y a la tutela judicial efectiva sin indefensión (art. 24.1 CE). Apelando a la doctrina constitucional introducida por la STC 167/2002, de 18 de septiembre, centra su queja en que la condena dictada por el órgano judicial de apelación se ha basado en la revisión de la credibilidad de los testimonios prestados en el juicio oral celebrado en primera instancia, sin haberlos oído personalmente, lo que resulta contrario a las exigencias de dicha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al delito de coacciones, alega que la Sentencia de la Audiencia Provincial entra a valorar la declaración testifical de la persona que realizó el cambio de la cerradura a pesar de no haber sido oída en segunda instancia. Añade que aunque el juzgador a quo hubiera hecho constar en su Sentencia que dicho testimonio no era “muy fiable”, ello no legitima al órgano de segunda instancia a revisar su valoración sin la garantía de inmediación. Además, la Sala descarta, sin justificación alguna, la afirmación realizada por varios testigos —acusado, denunciante y hermano de la denunciante— de que al garaje se podía acceder por la puerta principal del mismo, por lo que en ningún momento se impidió a la denunciante el acceso al garaje y con ello al trastero. Por lo que respecta al delito de malos tratos en el ámbito familiar, la Sala entra a valorar de nuevo la declaración de la principal testigo de la acusación —la denunciante— así como la de la tía de ésta, sin que ni una ni otra hayan sido oídas y, por ello, sin la necesaria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12 de diciembre de 2011,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30 de enero de 2012, la Sala Segunda acordó otorgar la suspensión interesada en lo que se refiere a las dos penas privativas de libertad, denegando la suspensión de los restantes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7 de marzo de 2012, se acordó dar vista de las actuaciones recibidas al Ministerio Fiscal y al recurrente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9 de abril de 2012, evacuando el trámite previsto en el citado art. 52.1 LOTC, el demandante de amparo presentó escrito de alegaciones, en el que se remitió íntegramente a las pretensiones formuladas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abril de 2012, evacuando idéntico trámite, el Ministerio Fiscal solicitó el otorgamiento del amparo, por vulneración de los derechos a un proceso con todas las garantías (art. 24.2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citar la STC 135/2011, en la que se resume la doctrina constitucional sobre las garantías de la segunda instancia penal, comienza por referirse a la condena por el delito de coacciones, argumentando que el Juzgado de lo Penal, tras el examen de numerosos testigos, descartó la existencia del delito al tener por acreditado que la denunciante en ningún momento se vio impedida para acceder al garaje-trastero. Frente a ello, la Audiencia Provincial, sin haber escuchado tales testimonios ni haber oído al acusado, concluyó que éste realizó el cambio de cerradura con la sola intención de impedir el acceso al garaje, modificando así el relato fáctico, y a tal conclusión llegó el órgano judicial ateniéndose únicamente a una revisión de las pruebas personales no practicadas en su presencia. En relación con el delito de malos tratos, también fueron modificados los hechos probados, incluyendo que las lesiones habían sido causadas por el actor para impedir que se llevase a la hija común de ambos, y esa modificación partió del rechazo a la valoración que la credibilidad del testimonio de la denunciante ofrecía al Juzgado de lo Penal, otorgando la Audiencia plena credibilidad al mismo sin explicación alguna. Concluye el Ministerio Fiscal que, en consecuencia, en ambos casos se vulneró el derecho a un proceso con todas las garantías y el derecho de defensa del actor. Además, dado que los medios de prueba indebidamente valorados en la segunda instancia resultan imprescindibles para fundamentar la condena por ambos ilícitos, también debe entenderse vulnerado el derecho a la presunción de inocencia, debiendo en consecuencia anularse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14 de junio de 2012, se señaló para deliberación y fallo de la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24 de noviembre de 2008 por la Audiencia Provincial de Cádiz por la que se revoca la absolución acordada en primera instancia; y contra la providencia de la citada Audiencia Provincial de 12 de enero de 2009, que inadmite a trámite el incidente de nulidad de actuaciones interpuesto. La demanda se funda en la vulneración de los derechos a un proceso con todas las garantías (art. 24.2 CE) y a la presunción de inocencia (art. 24.2 CE), citándose igualmente el derecho a la tutela judicial efectiva sin indefensión (art. 24.1 CE), por haberse dictado una Sentencia condenatoria en segunda instancia sin haber oído al acusado y sin la debida inmediación. El Ministerio Fiscal apoya la pretensión impugnatoria y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de la controversia suscitada en la presente demanda de amparo radica en si la revocación del pronunciamiento absolutorio acordada por la Audiencia Provincial, sin oír a los testigos que declararon ante el órgano judicial a quo y sin audiencia al acusado, se ha llevado a cabo con el debido respeto a las garantías exigibles en la segunda instancia penal. Para dar respuesta a la demanda de amparo resulta necesario exponer la doctrina constitucional desarrollada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recuerda la reciente STC 153/2011, de 17 de octubre, FJ 3, según la consolidada doctrina de este Tribunal sobre las garantías de la segunda instancia penal, desarrollada a partir de la citada STC 167/2002, de 18 de septiembre,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esta no resulta del análisis de medios probatorios que exijan presenciar la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 (STC 153/2011, FJ 3; en igual sentido, entre otras muchas, SSTC 170/2002, de 30 de septiembre, FJ 15; 198/2002, de 26 de octubre, FJ 5; 230/2002, de 9 de diciembre, FJ 8; 170/2005, de 20 de junio, FJ 3; 272/2005, de 24 de octubre, FJ 2; 36/2008, de 25 de febrero, FJ 5; y 24/2009,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al respeto a la garantía de inmediación en la valoración de las pruebas personales por el órgano ad quem, hemos introducido también, a partir de las recientes SSTC 184/2009, de 7 de septiembre, FJ 3 y 45/2011, de 11 de abril, FJ 3, la exigencia de audiencia personal del acusado como garantía específica vinculada al derecho de defensa (art. 24.2 CE). Tal como hemos afirmado en dichos pronunciamientos, la exigencia de tal garantía de audiencia del acusado en fase de recurso dependerá de las características del proceso en su conjunto. En el mismo sentido,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Así,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21 de septiembre de 2010, caso Marcos Barrios c. España, § 32; 16 de noviembre de 2010, caso García Hernández c. España, § 25; 25 de octubre de 2011, caso Almenara Álvarez c. España, § 39; 22 de noviembre de 2011, caso Lacadena Calero c. España, § 38; 13 de diciembre de 2011, caso Valbuena Redondo c. España, § 29; 20 de marzo de 2012, caso Serrano Contreras c. España, § 31)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este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Tribunal Europeo de Derechos Humanos indica también que “tras celebrarse una vista pública en primera instancia, la ausencia de debate público en apelación puede justificarse por las particularidades del procedimiento considerado, teniendo en cuenta la naturaleza del sistema de apelación interno, el alcance de los poderes del órgano de apelación, la manera en que los intereses del demandante han sido realmente expuestos y protegidos ante éste, y principalmente la índole de las cuestiones que éste tiene que juzgar … Así, ante un Tribunal de apelación que goza de plenitud de jurisdicción, el artículo 6 no garantiza necesariamente el derecho a una vista pública ni, si dicha vista ha tenido lugar, el de comparecer personalmente en los debates” (entre otras SSTEDH de 16 noviembre 2010, caso García Hernández c. España, § 24; y de 16 diciembre 2008, caso Bazo González c. España, § 30). De acuerdo con la doctrina del Tribunal Europeo de Derechos Humanos, será indispensable contar con una audiencia pública cuando el Tribunal de apelación “no se ha limitado a efectuar una interpretación diferente en derecho a la del juez a quo en cuanto a un conjunto de elementos objetivos, sino que ha efectuado una nueva apreciación de los hechos estimados probados en primera instancia y los ha reconsiderado, cuestión que se extiende más allá de las consideraciones estrictamente jurídicas” (STEDH de 10 de marzo de 2009, caso Igual Coll c. España, § 36; en igual sentido, STEDH de 13 de diciembre de 2011, caso Valbuena Redondo c. España, § 32). De donde, contrario sensu, se extrae la conclusión de que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CEDH, en la medida en que “los aspectos analizados por la Audiencia Provincial poseían un aspecto puramente jurídico, sin que los hechos declarados probados en primera instancia hubieran sido modificados”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presencia del acusado en el juicio de apelación, cuando en el mismo se debaten cuestiones de hecho que afectan a su declaración de inocencia o culpabilidad, es una concreción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 De manera que si el debate planteado en segunda instancia versa exclusivamente sobre cuestiones jurídicas, ya sea por la configuración legal del recurso —como en nuestro sistema jurídico ocurre, en tantas ocasiones, en la casación penal—, ya sea por los concretos motivos que fundamentan la solicitud de agravación de condena planteada por los acusadores, para su resolución no resulta necesario oír personalmente al acusado en un juicio público, pues dicha audiencia ninguna incidencia podría tener en la decisión que pudiera adoptarse, sino que el Tribunal ad quem puede decidir adecuadamente sobre la base de lo actuado. En tales supuestos, en cuanto el debate sea estrictamente jurídico, la posición de la parte podría entenderse debidamente garantizada por la presencia de su abogado, en quien se encarnaría la efectividad del derecho de defensa frente a los argumentos esgrimidos por la otra parte” (STC 153/2011, de 17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ha de llevarnos al otorgamiento del amparo solicitado. Tal como ha sido expuesto con mayor detalle en los antecedentes, la Audiencia Provincial revocó el pronunciamiento absolutorio dictado por el Juzgado de lo Penal y condenó al recurrente como autor de un delito de coacciones y un delito de malos tratos en el ámbito familiar. El Juzgado de lo Penal consideró que procedía la absolución por el delito de coacciones por no concurrir la intención del acusado de impedir el ejercicio de la libertad de la denunciante, concluyendo, a partir de sus propias declaraciones y de las del recurrente, que los enseres guardados en el garaje cuya cerradura cambió el actor no eran de uso habitual por parte de la denunciante, que la nueva llave le fue entregada al cabo de unos días y que no denunció ni mostró disconformidad con el cambio de cerradura. Además, el órgano de primera instancia tomó en consideración el testimonio del testigo aportado por la defensa, pese a no considerarlo muy fiable, acerca de que la cerradura se hallaba averiada, concluyendo que tal dato apuntaba a que la finalidad que movía al recurrente era la de su reparación. Por lo que respecta al delito de malos tratos, se fundó la absolución en la falta de fiabilidad que el órgano judicial a quo atribuyó a la declaración de la denunciante, considerando que circunstancias como su interés en la incriminación —dada la indemnización civil solicitada—, la iniciación casi simultánea de un pleito civil a instancias de la denunciante, el expreso reconocimiento de un resentimiento hacia su ex cónyuge o, entre otras, las contradicciones en que incurrió en su declaración, impiden atribuir veracidad a su testimonio y erigirlo en prueba de cargo. Además, entendió el Juzgado de lo Penal que tampoco el testimonio de otra testigo merecía credibilidad ni podía, en consecuencia, constituirse como elemento periférico de corroboración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rechaza la valoración de la prueba testifical efectuada por el Juez penal y la sustituye por un distinto enjuiciamiento, considerando, en relación con el delito de malos tratos, que las razones aducidas por el órgano judicial para dudar de la fiabilidad de los testimonios son inadmisibles y erróneas y concluyendo, en consecuencia, que la versión incriminatoria formulada por la denunciante y la otra persona que declaró como testigo, junto con el dato objetivo de las lesiones constatadas, permiten enervar la presunción de inocencia. En relación con el delito de coacciones, la Sala entiende que “el razonamiento resulta absurdo pues de una parte se está desconfiando de la credibilidad del testigo de la defensa y en orden a la justificación de la necesidad de cambiar la cerradura para en contradicción con ello admitir que estaba averiada, y de otra, se pasa por alto que incluso en el caso de estar efectivamente averiada, el cambio de la misma, unido al retardo en la entrega de una copia de la llave, dado que la puerta era de comunicación interior y exclusivamente utilizada por los moradores de la vivienda, no podía tener otra finalidad que la de impedir a estos el acceso por la misma hacia el trastero”.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justifica la posibilidad de revocar la absolución sin celebrar vista oral argumentando que el objeto de su valoración son las inducciones y deducciones seguidas por el órgano a quo, que por tanto no depende de la inmediación y la percepción directa de los testimonios, sino de la aplicación de las reglas de la lógica a las inferencias valorativas. Considerando tales inferencias arbitrarias, incongruentes e irrazonables, estima necesario modificarlas.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pautas hermenéuticas que informan la doctrina constitucional expuesta, no podemos compartir la argumentación de la Audiencia Provincial. Ciertamente, para analizar la razonabilidad y coherencia lógica de las inferencias empleadas por el órgano de primera instancia no es precisa la garantía de inmediación; pero lo cierto es que la Audiencia Provincial no se limita a dicha evaluación, sino que, después de haber rechazado la valoración efectuada por el Juez penal por considerarla arbitraria, la sustituye por una distinta, atribuyendo así credibilidad a los testimonios que sólo el órgano a quo pudo oír. E indudablemente, para esta segunda operación valorativa sí es precisa la inmediación, por cuanto comprende un juicio sobre la fiabilidad de las declaraciones testificales. En los términos empleados por la STC 317/2006, de 15 de noviembre, ante un supuesto similar al que ahora nos ocupa, “de la censura sobre la razonabilidad de los argumentos utilizados por el órgano a quo para fundar su convicción sobre la credibilidad de un testimonio no se infiere, eo ipso, un juicio positivo sobre la veracidad del mismo, sino que es preciso realizar una segunda valoración dirigida a ponderar dicha credibilidad, y esta segunda fase del enjuiciamiento habrá de verse necesariamente apoyada sobre elementos de juicio necesitados de la inmediación; máxime en supuestos, como en el que ahora nos ocupa, en los que la asunción de la verosimilitud del testimonio de la parte acusadora conlleva per se la negación de la credibilidad de lo manifestado, no sólo por el acusado, sino por otros testigos presentados por la defensa, con una versión de los hechos lógicamente opuesta a los de la acusación. Expresado en otros términos: que las razones por las que un Juez considera que la declaración de un testigo no es veraz sean ilógicas o irrazonables no implica que tal declaración sea veraz, de igual modo que considerar como irrazonables o ilógicas las razones que avalan un veredicto de inocencia no puede dar lugar a una atribución de culpabilidad. En suma, para la valoración sobre de la credibilidad de un testimonio será precisa siempre la concurrencia de la inmediación, so pena de vulnerar el derecho a un proceso con todas las garantías recogido en el art. 24.2 CE” (FJ 3; en igual sentido, SSTC 15/2007, de 12 de febrero, FJ 3; y 54/2009, de 23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afirmado lleva cabalmente a declarar vulnerado el derecho a un proceso con todas las garantías (art. 24.2 CE) respecto de la condena por el delito de malos tratos, puesto que, como acabamos de poner de manifiesto, la revocación de la absolución se ha fundado en una diferente valoración de pruebas personales sin la debida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atinente a la condena por el delito de coacciones, ha sido ya expuesto que las garantías de la segunda instancia penal poseen un ámbito más amplio, abarcando asimismo la necesidad de oír al acusado, en aras a garantizar su derecho de defensa (art. 24.2 CE), en todos aquellos supuestos en los que por el órgano ad quem se procede a una alteración de los hechos probados para modificar in peius el pronunciamiento dictado en primera instancia (SSTC 184/2009, de 7 de septiembre, FJ 3, y 45/2011, de 11 de abril, FJ 3). De igual modo a como procedimos en la STC 153/2011, de 17 de octubre, “(l)a íntima conexión con las garantías cuya pretendida vulneración sustenta este recurso de amparo constitucional exige que este Tribunal aborde la cuestión de si se vulneró el derecho a la defensa del demandante de amparo como consecuencia de haber sido condenado por la Audiencia Provincial sin darle ocasión de hacerse oír personalmente ante ella, aun cuando esta dimensión constitucional no ha sido formulada con precisión en la demanda de amparo”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importante poner de manifiesto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venido entendiendo el Tribunal Europeo de Derechos Humanos. En la antes citada STEDH de 13 de diciembre de 2011, caso Valbuena Redondo c. España, la absolución por delito contra la hacienda pública acordada en primera instancia se fundó en la ausencia de voluntad fraudulenta del acusado, conclusión que después fue modificada por el órgano de apelación. Ante ello, el Tribunal europeo afirmó que “a diferencia del asunto Bazo González ya citado, la Audiencia Provincial no se limitó a una nueva valoración de elementos de naturaleza puramente jurídica, sino que se pronunció sobre una cuestión de hecho, en concreto, la existencia de una voluntad de defraudar a la Hacienda Pública … modificando así los hechos declarados probados por el Juez de la primera instancia. En opinión del Tribunal, tal examen implica, por sus características, una toma de posición sobre hechos decisivos para la determinación de la culpabilidad del demandante” (§ 37). Por tal razón, concluyó que “(s)iendo las cuestiones tratadas esencialmente de naturaleza fáctica, … la condena del demandante en apelación por la Audiencia Provincial tras un cambio en la valoración de elementos tales como la existencia de un verdadero perjuicio económico para la Hacienda pública o la intención fraudulenta del demandante, sin que este hubiese tenido la oportunidad de ser oído personalmente y de discutirlos mediante un examen contradictorio en el curso de una vista oral, no es conforme con las exigencias de un proceso equitativo”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idéntico sentido se manifestó el Tribunal de Estrasburgo en la STEDH 22 de noviembre de 2011, caso Lacadena Calero c. España. Ante un supuesto en el que el Tribunal Supremo había revocado una absolución por delito de estafa, afirmando que el acusado era conocedor de los documentos que, como notario, había autorizado y que actuó con un dolo eventual de defraudar, manifiesta el Tribunal Europeo de Derechos Humanos que “el Tribunal Supremo se apartó de la sentencia de instancia después de haberse pronunciado sobre elementos de hecho y de derecho que le permitieron determinar la culpabilidad del acusado. A este respecto, es obligado constatar que, cuando la inferencia de un tribunal ha tenido relación con elementos subjetivos (como en este caso la existencia de dolo eventual), no es posible proceder a la valoración jurídica de la actuación del acusado sin haber tratado previamente de probar la realidad de esta actuación, lo que implica necesariamente la verificación de la intención del acusado en relación a los hechos que se le imputan. Ciertamente, el Tribunal Supremo llegó a su valoración de la intención del acusado sobre la base de una inferencia a partir de los hechos acreditados por la instancia inferior (los documentos del expediente). Sin embargo, para llegar a esta inferencia, el Tribunal Supremo no ha oído al acusado, que no ha tenido la oportunidad (inexistente en el recurso de casación) de hacer valer ante el Tribunal las razones por las que negaba haber sido consciente de la ilegalidad de su actuación y tener una voluntad fraudulenta. Como consecuencia, el Tribunal considera que las cuestiones que debía examinar el Tribunal Supremo, requerían la valoración directa del testimonio del acusado, o incluso del de otros testigos” (§§ 47 a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tales presupuestos al caso que ahora nos concierne, es preciso hacer notar que a la hora de fundamentar la condena por el delito de coacciones, la Sentencia de la Audiencia Provincial impugnada incurre en el mismo proceder que las resoluciones que dieron lugar a las citadas decisiones del Tribunal Europeo de Derechos Humanos. Como ha sido expuesto con antelación, la absolución acordada por el Juzgado de lo Penal partió de entender que “la cuestión que se plantea es la de determinar si el cambio de aquella cerradura constituyó un acto de coacción por haberse realizado con la intención de impedir el ejercicio de la libertad a la denunciante”, y concluyó, a partir de la evaluación de diferentes indicios, que no era esa la finalidad que movió al actor a cambiar las cerraduras. Frente a dicha valoración, la revocación de la absolución por el delito de coacciones vino presidida por una distinta inferencia sobre la concurrencia del dolo típico, concluyendo la Sala que la conducta de cambiar las cerraduras de la puerta que daba acceso al trastero no tenía otra finalidad que impedir el acceso al mismo y, con ello, coartar la libertad de los moradores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distinto enjuiciamiento sobre los hechos subjetivos sin haber dado audiencia al acusado supone, en atención a la doctrina constitucional expuesta, la vulneración del derecho a la defensa (art. 24.2 CE), por cuanto, en definitiva, la condena dictada por la Audiencia Provincial no sólo se sostiene sobre una nueva valoración de la credibilidad de pruebas personales sin la debida inmediación, sino que ha sido consecuencia de la modificación de los hechos probados sin dar oportunidad al acusado para ejercitar su defensa ante el órgano ad quem.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recuerda la STC 30/2010, de 17 de mayo, FJ 5, según reiterada doctrina de este Tribunal Constitucional la constatación de la vulneración del derecho a un proceso con todas las garantías (art. 24.2 CE) determinará también la del derecho a la presunción de inocencia (art. 24.2 CE) en la medida en que la eliminación de las pruebas valoradas sin la debida inmediación deje sin sustento el relato de hechos probados que soporta la declaración de culpabilidad del acusado. Esto sucederá, por supuesto, cuando la prueba personal eliminada sea la única tomada en cuenta por la resolución impugnada, pero también cuando, a partir de la propia motivación de la Sentencia, se constate que dicha prueba era esencial para llegar a la conclusión fáctica incriminatoria, de modo que con su exclusión la inferencia en dicha conclusión devenga ilógica o no concluyente a partir de los presupuestos de la propia Sentencia (SSTC 126/2007, de 21 de mayo, FJ 4; 207/2007, de 24 de septiembre, FJ 2; 36/2008, de 25 de febrero, FJ 5 y 214/2009, de 30 de noviembre, FJ 5, entre otras). En atención a dicha doctrina, y de modo acorde a lo solicitado por el Ministerio Fiscal, debemos declarar también vulnerado el derecho a la presunción de inocencia, por cuanto las pruebas decisivas sobre las que se ha sustentado la condena impuesta por los delitos de coacciones y malos tratos son las declaraciones testificales de denunciante y denunciado, así como las de otros testigos llamados a declarar ante el órgano judicial de primera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Real Granado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a un proceso con todas las garantías (art. 24.2 CE), a la defensa (art. 24.2 CE) y a la presunción de inocencia (art. 24.2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la Sección Primera de la Audiencia Provincial de Cádiz el día 24 de noviembre de 2008, en recurso de apelación núm. 170-2008, y de la providencia de 12 de enero de 2009 dictada por el mismo órgano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