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124</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6818-2011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15 de diciembre de 2011 tuvo entrada en este Tribunal escrito de la Procuradora de los Tribunales, doña Aurora Gutiérrez Martín, actuando en nombre y representación de doña Ana Fernández Martín, mediante el que interpuso recurso de amparo contra la Sentencia 279/2011, de 18 de noviembre, dictada por el Juzgado de lo Contencioso-Administrativo núm. 1 de Madrid, desestimatoria del recurso contencioso-administrativo núm. 861-2009 interpuesto contra la resolución sancionadora del Director General de Movilidad del Ayuntamiento de Madrid de 16 de julio de 2009 por la que se le imponía una multa de 301 euros.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alega en su demanda que la resolución impugnada vulnera el derecho a la legalidad sancionadora (art. 25.1 CE) porque cumplió en todo momento con su obligación de identificar al conductor de forma suficiente y precisa para que el Ayuntamiento pudiera dirigir contra él el procedimiento sancionador. Invoca asimismo la vulneración del derecho a la presunción de inocencia (art. 24.2 CE) que sólo podría verse, en su opinión, enervado por una conducta evasiva o reticente del propietario del vehículo que entiende no ha concurrido en este caso. Finalmente, pone de manifiesto la vulneración del derecho a la igualdad en la aplicación de la ley (art. 14 CE) ya que la Sentencia se habría pronunciado en sentido distinto a las diferentes Sentencias del Tribunal Constitucional en esta materia citando, en concreto, la STC de 12 de julio de 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la recurrente en amparo solicita se acuerde la suspensión de la ejecución del acto administrativo y de la Sentencia impugnada conforme a lo dispuesto en el art. 56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sendas providencias de 19 de abril de 2012, la Sala Segunda de este Tribunal acordó admitir a trámite la demanda de amparo, y ordenar que se formase la presente pieza separada de suspensión concediendo a la demandante y al Ministerio Fiscal, conforme a lo dispuesto en el art. 56 LOTC, plazo común de tres días para formular alegaciones en relación con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mediante escrito registrado en este Tribunal el 11 de mayo de 2012 evacuó el trámite de alegaciones. Recuerda con carácter preliminar la doctrina constitucional, indicando que la suspensión es una medida excepcional de aplicación restrictiva siendo la regla general la no suspensión salvo que la ejecución de la Sentencia recurrida ocasione un perjuicio irreparable, real y efectivo que pudiera hacer perder al recurso su finalidad; es decir, cuando el restablecimiento del recurrente en el derecho constitucional vulnerado sea tardío e inefectivo. Esta decisión exige una ponderación de los intereses generales y los derechos fundamentales de terceros y del interés particular del demandante de amparo que alega, a su vez, la vulneración de un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entiende el Ministerio Fiscal que la demandante de amparo no ha acreditado el perjuicio que habría de sufrir en el caso de que se procediera a la ejecución del acto administrativo impugnado, razón por la que la petición debe ser desestimada y añade que por ser la resolución impugnada una multa de 301,00 euros resulta de aplicación la doctrina general de que los pronunciamientos de efectos meramente patrimoniales, por su contenido económico, no causan, en principio, perjuicios de imposible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demandante de amparo no presentó alegaciones en el plazo conferido al efecto por la providencia de la Sala Segunda de 19 de abril de 2012.</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de la Ley Orgánica del Tribunal Constitucional (LOTC), “la interposición del recurso de amparo no suspenderá los efectos del acto o sentencia impugnados”. Este primer apartado ha de conectarse con lo previsto en los demás apartados del citado art. 56 LOTC, particularmente con el segundo que fija: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Este Tribunal ha declarado (por todos, ATC 16/2012, de 30 de enero, FJ 1)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de 25 de mayo,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la adopción de esta medida cautelar sólo resulta pertinente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todos, ATC 1/2011, de 14 de febrero, FJ 3; y ATC 16/2012, de 30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que nos ocupa, tal y como señala el Ministerio Fiscal, la demandante de amparo ni alega ni acredita los perjuicios irreparables que la ejecución del acto administrativo impugnado, una multa de 301 euros, podría ocasionarle, pues se limita en su petición de suspensión a remitirse a lo establecido en el art. 56 LOTC sin que, posteriormente, en el plazo concedido al efecto presentara alegaciones. Así pues, debemos entender que el perjuicio que ocasiona la ejecución de la resolución sancionadora es única y exclusivamente económico resultando por ello de aplicación la doctrina expuesta en el fundamento jurídico anterior en cuanto que la ejecución del acto administrativo cuya legalidad fue confirmada por la Sentencia recurrida en amparo no impediría la restauración efectiva de los derechos fundamentales que la demandante estima conculcados al ser posible la restitución íntegra de lo ejecutado, razón por la cual debemos denegar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junio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