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2363-2010, promovido por don Jokin Mirena Sancho Biurrun, representado por el Procurador de los Tribunales don José Javier Cuervas Rivas y asistido por la letrada doña Amaia Izko Aramendía contra la providencia de la Sección Tercera de la Sala de la Sala de lo Penal de la Audiencia Nacional, de 23 de diciembre de 2009, así como contra el Auto de la misma Sección, de 2 de febrero de 2010, dictados en el expediente de refundición de condenas 3-1998, sobre licenciamiento definitivo del recurrente. Ha intervenido el Ministerio Fiscal ha sido Ponente el Magistrado don Francisco Pérez de los Cobos y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marzo de 2010, don José Javier Cuevas Rivas, Procurador de los Tribunales y de don Jokin Mirena Sancho Biurrun, interpuso recurso de amparo contra la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por la Sección Tercera de la Sala de lo Penal de la Audiencia Nacional (sumario 1-1985 del Juzgado Central de Instrucción núm. 5) como autor de tres delitos de utilización ilegítima de vehículo de motor ajeno con uso de armas y toma de rehenes a tres penas de doce años de prisión mayor y privación del permiso de conducir por cinco años; como autor de un delito de asesinato consumado a la pena de treinta años de reclusión mayor; como autor de dos delitos de robo con intimidación a dos penas de doce años de prisión mayor; por la autoría de un delito de atentado a la pena de veintidós años de reclusión mayor; y como autor de dos delitos de asesinato frustrado a dos penas de veintidós años de reclusión mayor. Del mismo modo, en el sumario 50-1984 del mismo Juzgado Central de Instrucción, la Sección Segunda de la Audiencia Nacional condenó al demandante de amparo como responsable de un delito de utilización ilegítima de vehículo de motor en relación con un delito de robo con homicidio a la pena de veintisiete años de reclusión mayor y accesorias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14 de enero de 1998 la Audiencia Nacional acordó acumular las condenas al darse entre los delitos referidos la conexidad exigida legalmente,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17 de marzo de 2002 se acordó modificar la liquidación de condena inicialmente practicada, fijándose como fecha de cumplimiento el 16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9 de octubre de 2009 el centro penitenciario de Zuera interesó de la Audiencia Nacional la aprobación del licenciamiento definitivo del demandante para el día 8 de diciembre de 2009, siendo tal propuesta rechazada por providencia de 2 de noviembre de 2009 por la que, de conformidad con el dictamen del Ministerio Fiscal, se ordenaba a al centro penitenciario realizar la propuesta de licenciamiento definitivo siguiendo los criterios de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criterio establecido por el órgano judicial, la Administración penitenciaria propuso como fecha de licenciamiento definitivo el 16 de agosto de 2019, siendo aprobada la propuesta mediante providencia de 23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providencia dedujo el demandante de amparo recurso de súplica, que fue desestimado mediante Auto de 2 de febrero de 2010 con fundamento en que frente a la interpretación propiciada por la parte había de prevalecer la sentada por el Tribunal Supremo en la Sentencia ya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refiere al principio de legalidad (art. 25.1 y 2 CE), en relación con la interpretación de los arts. 70.2 y 100 del Código penal (CP) de 1973, así como del art. 66 del reglamento de prisiones de 1956 y del art. 202 del reglamento penitenciario actual. 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1973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derecho a la tutela judicial efectiva (art. 24.1 CE), en relación con el derecho a la libertad (art. 17.1 CE). Estima el recurrente que, a raíz de la nueva interpretación de la aplicación de las redenciones de penas por el trabajo sobre la totalidad de las condenas y no sobre la pena resultante de la aplicación de la reducción de condenas (art. 70.2 CP 1973), han creado las resoluciones impugnadas una situación de indefensión e inseguridad jurídica, por cuanto la aprobación de redenciones por parte de los diferentes Juzgados de Vigilancia Penitenciaria, firmes e intangibles, suponían con la interpretación hasta la STS 197/2006, reducciones de condena respecto de los treinta años. Y es que así se interpretaba y aplicaba por todos los órganos judiciales y administrativo-penitenciarios, sin excepción. Las redenciones de pena reconocidas por resoluciones judiciales firmes son abono de condena y por tanto, afectan al derecho a la libertad consagrado en el art. 17 de la Constitución, lo cual implica la existencia de un deber reforzado de motivación, derivado del art. 24.1 CE, que no se cumple en las resoluciones dictadas por el Tribunal de instancia y contra las que ahora se recurre. Ambas resoluciones deberían explicar las razones por las que limitan la libertad demandante y cambian el criterio hasta el momento mantenido, no bastando, en modo alguno, la remisión que realizan a la Sentencia 197/2006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la vulneración del derecho fundamental a la tutela judicial efectiva, establecido en el artículo 24.1 de la Constitución Española, resultante de la vulneración del derecho a la intangibilidad de las resoluciones judiciales firmes, en relación igualmente a los principios de legalidad y seguridad jurídica. Recuerda que en su procedimiento se acordó acumular las condenas impuestas al penado fijándose treinta años de privación de libertad el tiempo total de cumplimiento de la condena. Consecuencia de ello se solicitó por el centro penitenciario la aprobación del licenciamiento definitivo para el día 8 de diciembre de 2009, fecha resultante de la redención de penas por el trabajo a la pena única de treinta años de prisión. En este sentido, argumenta, no sólo existe una expectativa de reducción de la condena y consecuentemente de libertad, sino que nos encontramos con una resolución firme, nunca cuestionada y nunca modificada, por la que se acumulan todas las condenas impuestas en una única, de donde se deriva la correspondiente liquidación de condena y cuya consecuencia es la aplicación a la misma de la institución de la redención de penas por el trabajo. Las resoluciones judiciales ahora impugnadas atrasan gravemente la fecha de licenciamiento definitivo del recurrente y modifican el criterio uniforme que fijaba los criterios para la ejecución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queja el demandante en amparo de la lesión del principio de legalidad (arts. 25.1 y 9.3 CE), por aplicación retroactiva de ley desfavorable; se denuncia que, con esta pretendida nueva interpretación, de facto se está aplicando retroactivamente el art. 78 CP 1995 (que establece que los beneficios penitenciarios y la libertad condicional se apliquen a la totalidad de las penas impuestas en las Sentencias), a un penado bajo el Código penal de 1973, pues éste no contempla la aplicación de las redenciones a la totalidad de las condenas, una previsión que sí realiza el art. 78 CP 1995 y que es desfavorable. También se destaca que las modificaciones legales en esta materia se realizaron, como se pone de relieve en sus exposiciones de motivos,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al derecho a la igualdad en la aplicación de la ley (art. 14 CE). Con cita de la STC 144/1988, de 12 de julio,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y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criterio aplicado a cientos de presos, en un momento en que la norma (Código penal de 1973) ya está derogada y cuando la nueva interpretación resulta aplicable a un número muy limitado de presos y sin que existan razones fundadas que justifiquen el cambio.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libertad (art. 17.1 CE), tras poner de relieve que, conforme a la jurisprudencia de este Tribunal, la redención de penas por el trabajo afecta al derecho a la libertad (SSTC 31/1999, de 8 de marzo, y 76/2004, de 26 de abril), se denuncia que el mencionado cambio de criterio jurisprudencial contra el reo modifica su expectativa de libertad, implicando un alargamiento de su estancia en prisión, sin base legal ni reglamentaria (se cita de nuevo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Esto queda patente en la inicial liquidación de condena y propuesta de licenciamiento definitivo efectuada por el centro penitenciario, por lo que la denegación del licenciamiento definitivo viola el art. 17 CE, el art. 7.1 del Convenio europeo y el art. 15.1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vulnerado el art. 25.2 CE, en relación con el art. 10.3 PIDCP; se destaca que, de conformidad con el art. 25.2 CE, las penas privativas de libertad han de estar orientadas a la reinserción social, fin al que se orienta la redención de penas por el trabajo como instrumento de tratamiento penitenciario, y que la nueva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2011, la Sala Segunda de este Tribunal acordó la admisión a trámite de la demanda así como, a tenor de lo establecido en el artículo 51 Ley Orgánica del Tribunal Constitucional (LOTC), requerir atentamente a la Sección Tercera de la Sala de lo Penal de la Audiencia Nacional para que remitiera testimonio de las actuaciones correspondientes al expediente de refunción de condenas núm. 3-1998 (ejecutoria núm. 30-1996), interesándose al tiempo que emplazasen a quienes fueron parte en el procedimiento, a excepción del demandante de amparo,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20 de junio de 2011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diligencia de ordenación de 12 de abril de 2012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 de julio de 2008 presentó sus alegaciones el Ministerio Fiscal. En ellas aduce en primer término que el recurso es inadmisible por falta de agotamiento de la vía judicial previa, pues el demandante debió recurrir en casación el Auto de 2 de febrero de 2010 que desestimó el recurso de súplica contra la aprobación del licenciamiento definitivo, pues en tal fecha ya se había consolidado la doctrina del ATC de 7 de abril de 2008, según el cual a los Autos sobre aprobación del licenciamiento definitivo les es de aplicación la previsión del art. 988 de la Ley de enjuiciamiento criminal en la medida en que completan la fijación del límite máximo de cumplimiento de penas acumuladas. Por lo demás esa ha sido la postura mantenida por el Pleno del Tribunal Constitucional en la STC 60/2012, de 29 de marzo, seguida luego por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cuestiones de fondo suscitadas, considera el Ministerio Fiscal que la totalidad de las mismas han sido abordadas y rechazadas por este Tribunal, citando a tal efecto los distintos fundamentos jurídicos de la STC 39/2012 en los que las indicadas cuestiones han sido estudiadas.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siguiendo la doctrina sentada por este Tribunal, rechaza que se produjera la aducida vulneración del derecho a la tutela judicial efectiva por desconocimiento de la intangibilidad de las resoluciones judiciales firmes, pues ninguna resolución sobre licenciamiento definitivo se dictó en el proceso a quo de la que quepa predicar la firmeza necesaria. Tal es el caso de las resoluciones sobre aprobación de redenciones de penas por el trabajo —que no contienen liquidaciones de condena—, o de las propuestas de licenciamiento efectuadas por el centro penitenciario correspondiente en cuanto no fueron aprobadas por el órgano judicial, sino antes al contrario, se ordenó su rectificación. No existió, por tanto, ninguna resolución judicial firme en la que se partiese de un determinado criterio de cómputo de las redenciones de pena por el trabajo distinto al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septiembre de 2012 se señaló para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la providencia de la Sección Tercera de la Sala de la Sala de lo Penal de la Audiencia Nacional, de 23 de diciembre de 2009, así como contra el Auto de la misma Sección, de 2 de febrero de 2010, dictados en el expediente de refundición de condenas 3-1998, que, en aplicación de lo establecido en la Sentencia del Tribunal Supremo 197/2006, de 28 de febrero, fija la fecha de licenciamiento definitivo el día 16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(art. 25.1 y 2 CE), a la libertad (art. 17.1 CE) y a la igualdad en la aplicación de la ley (art. 14 CE), con la argumentación que queda ampliamente expuesta en los antecedentes de esta resolución. El Ministerio Fiscal, por su parte, interesa la inadmisión del recurso ex art. 44.1 a) de la Ley Orgánica del Tribunal Constitucional (LOTC), por falta de agotamiento de la vía judicial previa; subsidiariamente, interesa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89/2011, de 6 de junio,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citado requisito de admisibilidad, hemos afirmado en la STC 174/2011, de 7 de noviembre, que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citada doctrina, y de igual modo a como hemos acordado en las SSTC 128/2012, de 18 de julio, y 58/2012, 60/2012, y 63/2012, todas de 29 de marzo, ante supuestos idénticos al presente, procede dictar Sentencia inadmitiendo el recurso de amparo por falta de agotamiento de la vía judicial previa [art. 44.1 a) LOTC], al acudir directamente a este Tribunal sin haber hecho uso del recurso de casación ante 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como hemos afirmado en los citados pronunciamientos,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al menos un año antes [casi dos años en el presente caso] de dictarse las resoluciones impugnadas mediante el Auto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acumuladas, abona la recurribilidad en casación de los Autos de licenciamiento definitivo en cuanto concretan y fijan definitivamente el máximo de cumplimiento respecto de las penas que se acumulan” (SSTC 128/2012, FJ 3; 58/2012, FJ 3; 60/2012, FJ 3; 63/2012,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Jokin Mirena Sancho Biurrun contra la providencia de la Sección Tercera de la Sala de la Sala de lo Penal de la Audiencia Nacional, de 23 de diciembre de 2009, así como contra el Auto de la misma Sección, de 2 de febrero de 2010, que desestimó el recurso de súplica deducido contra la providencia 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