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6915-2011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Acceder a la suspensión de la pena privativa de libertad de dos años de prisión y accesoria de privación del derecho de sufragio pasivo durante el tiempo de la condena, impuesta a don José Luis Villagordo Crego en Sentencia de 27 de mayo de 2011, dictada por el Juzgado de lo Penal núm. 19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diciembre de 2011, procedente del Juzgado Decano de Madrid, tuvo entrada en el Registro General de este Tribunal escrito firmado por la Procuradora de los Tribunales Estrella Moyano Cabrera, en representación de don José Luis Villagordo Crego, por el que se promovía recurso de amparo contra la Sentencia de 27 de mayo de 2011, dictada por el Juzgado de lo Penal núm. 19 de Madrid, así como contra la dictada por la Sección Tercera de la Audiencia Provincial de Madrid el 16 de septiembre siguiente en el rollo núm. 286-2011, desestimatoria del recurso de apelación deducido contra la del Juzgado de lo Penal. Se impugna igualmente la providencia de 20 de octubre de 2011, dictada también por la Sección Tercera, por la que se inadmite el incidente de nulidad de actuaciones interpuesto contra la última Sentencia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Juzgado, confirmada luego por la Audiencia, condenó al demandante como autor de un delito de lesiones de los arts. 147.1 y 148.1 del Código penal, a la pena de dos años de prisión, inhabilitación especial para el derecho de sufragio pasivo durante el tiempo de la condena, al pago de las costas y a indemnizar a la víctima en 400 €.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aduce vulneración del derecho a la presunción de inocencia (art. 24.2 CE), así como del derecho a la tutela judicial efectiva sin indefensión, en su vertiente de derecho a una resolución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de este Tribunal que acuerde la suspensión de la pena privativa de libertad dado que cuando el amparo solicitado fuese otorgado por este Tribunal la pena ya habría sido cumplida total o parcialmente, de modo que el amparo habría perdido su finalidad. Aduce además que la suspensión del cumplimiento de la condena de pena privativa de libertad no causa perjuicio a tercero con cita de resoluciones de este Tribunal en las que se accedió a la suspensión que ahora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julio de 2011, la Sala Segunda acordó admitir a trámite la demanda de amparo. En providencia de la misma fecha acordó abrir pieza separada para la tramitación del incidente de suspensión y dar traslado por tres días al demandante de amparo y al Ministerio Fiscal para que alegasen lo que estimasen conveniente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ampro formuló alegaciones mediante escrito presentado el 24 de julio de 2012, interesando la suspensión de la condena privativa de libertad, si bien llamando la atención del Tribunal acerca de la menor trascendencia que la solicitud tenía en ese momento, toda vez que el órgano judicial había concedido al demandante la suspensión de la condena mediante Auto  de 21 de marzo de 2012, cuya copia aporta.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el 27 de julio de 2012, interesó la suspensión de la pena privativa de libertad, única a la que se refería la solicitud del demandante, a la vista de la corta duración de la condena y de la doctrina de este Tribunal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ATC 8/2011, de 14 de febrero, contiene la interpretación que este Tribunal ha realizado del art. 56.1 de la Ley Orgánica del Tribunal Constitucional (LOTC), en la redacción dada por la Ley Orgánica 6/2007, de 24 de mayo, que afirma “que procederá, en principio, acordar la suspensión de resoluciones judiciales que afectan a bienes o derechos del recurrente de amparo de imposible o muy difícil restitución a su estado anterior, permitiéndose incluso —como novedad— la adopción de cautelas para evitar la frustración de la finalidad del recurso aún antes de haber sido este admitido a trámite” (ATC 130/2010, de 4 de octubre, FJ 1). El criterio de suspensión expuesto concurre en la ejecución de fallos judiciales que condenan a penas privativas de libertad, ya que “la libertad constituye un derecho cuya naturaleza convierte el perjuicio irrogado en irreparable, en caso de estimarse el amparo una vez cumplida parcial o totalmente la pena” (por todos ATC 15/2010, de 1 de febrero, FJ 1). Si bien este criterio no es absoluto, ya que en dichos supuestos “deben también ponderarse otras circunstancias relevantes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(ATC 22/2009, de 26 de enero, FJ 2); “significativamente destaca la duración y gravedad de la pena impuesta, porque,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tesis del Ministerio Fiscal, concurren los requisitos que nuestra doctrina exige para otorgar la suspensión de la Sentencia impugnada en cuanto a la pena privativa de libertad, por cuanto la duración de la pena impuesta —dos años de prisión— permite afirmar que su ejecución puede ocasionar al demandante perjuicios irreparables que harían perder su finalidad al recurso de amparo si se compara la duración de la pena impuesta con el tiempo que requiere la tramitación de un proceso de amparo (AATC 59/2008, de 20 de febrero, FJ 2; y 172/2008, de 23 de junio,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recurrente ha puesto de manifiesto en su escrito de alegaciones que la pena privativa de libertad de dos años de duración ha sido condicionalmente suspendida por el propio órgano judicial, en aplicación de lo previsto en los arts. 80 y siguientes del Código penal (CP). Pues bien, en el ATC 25/2009, de 26 de enero, recodábamos la procedencia de la suspensión constitucional de pena privativa de libertad previamente suspendida por la jurisdicción penal en aplicación del art. 80 del Código penal “dado el distinto alcance que una y otra tienen en la medida de que la suspensión de la ejecución de la pena prevista en los indicados preceptos está sujeta a unas condiciones que no son de aplicación a esa misma suspensión cuando la decide el Tribunal Constitucional, estando en este último caso sujeta exclusivamente al límite temporal constituido por la Sentencia en la que se pronuncie sobre el amparo solicitado” (en el mismo sentido ATC 409/2004, 2 de noviembre). Resulta por ello procedente decretar la suspensión cautelar de la pena privativa de libertad impuesta, en atención a su corta duración, tratando así de prevenir que durante la previsible duración de este amparo, por vicisitudes del procedimiento penal, se pudieren producir situaciones perjudiciales que frustraren la finalidad del presente recurso. Consiguientemente, conforme a la regla de accessorium sequitur principale, igual suspensión deberá extenderse a la privación del derecho de sufragio pasivo (art. 44 CP) aneja a la privativa de libertad suspensa.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Acceder a la suspensión de la pena privativa de libertad de dos años de prisión y accesoria de privación del derecho de sufragio pasivo durante el tiempo de la condena, impuesta a don José Luis Villagordo Crego en Sentencia de 27 de mayo de 2011, dictada por el Juzgado de lo Penal núm. 19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