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5391-2009, promovido por doña Itziar Martínez Sustatxa, representada por la Procuradora de los Tribunales doña María Elvira Encinas Lorente y asistida por el Abogado don Iñaki Goyoaga Llano, contra la providencia de 7 de abril de 2009, de la Sección Tercera de la Sala de lo Penal de la Audiencia Nacional, dictada en la ejecutoria núm. 79-1996, dimanante del rollo de Sala núm. 110-1992, sumario núm. 33-1992 del Juzgado Central de Instrucción núm. 5, y contra el Auto de 27 de abril de 2009 que desestimó el recurso de súplica interpuesto frente a dicha resolución, por los que se fija el 25 de agosto de 2021 como fecha de licenciamiento definitivo de las penas acumuladas que cumple la recurrente.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junio de 2009, doña Itziar Martínez Sustatxa anunció su deseo de recurrir en amparo el Auto de 27 de abril de 2009 que desestimó el recurso de súplica interpuesto frente a la anterior providencia de 7 de abril dictados por la Sección Tercera de la Sala de lo Penal de la Audiencia Nacional en la ejecutoria núm. 79-1996, dimanante del rollo de Sala núm. 110-1992, sumario núm. 33-1992 del Juzgado Central de Instrucción núm. 5. Para ello designó al Letrado señor Goyoaga Llano y solicitó la designación de Procurador del turno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designación solicitada, la Procuradora señora Encinas Lorente, dentro del plazo que le fue concedido, interpuso el 25 de noviembre de 2009 recurso de amparo contra las resoluciones judiciales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tal y como derivan de las actuaciones recibidas,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fue condenada conforme al Código penal (CP) de 1973 en tres causas penales seguidas por delitos de terrorismo. Las condenas impuestas (de seis años y un día, treinta y nueve años y un día, y veintiséis años de privación de libertad) fueron procesalmente acumuladas por la Sección Tercera de la Sala de lo Penal de la Audiencia Nacional, último Tribunal sentenciador, en la ejecutoria núm. 79-1996 en la que, por Auto de 28 de septiembre de 1998, se fijó en treinta años de privación de libertad el límite máximo de cumplimiento de todas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4 de marzo de 2009, el director del centro penitenciario de Dueñas (Palencia), en el que se encontraba interna la demandante, solicitó al Tribunal sentenciador la aprobación del licenciamiento definitivo de la penada para el día 4 de junio de 2009. Sobre dicha propuesta fue oído el Ministerio Fiscal que, en escrito de 17 de marzo siguiente, informó favorablemente la misma. La Sección Tercera de la Sala de lo Penal de la Audiencia Nacional, mediante providencia de 23 de marzo de 2009, aprobó el licenciamiento definitivo para la fecha propuesta, lo que comunicó al centro penitenciario al que solicitó le remitiera certificado de licenciamiento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 de abril siguiente, el director del centro penitenciario se dirigió de nuevo al Tribunal sentenciador solicitando aclaración acerca de la posible aplicación a la penada de los criterios de cómputo de redención fijados en la STS 197/2006. Por providencia de 7 de abril de 2009, la Sección acordó requerir al director del centro penitenciario para que formulara nueva propuesta de licenciamiento definitivo en aplicación de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13 de abril de 2009, la penada recurrió en súplica dicha providencia solicitando su nulidad, poniendo de manifiesto el carácter firme de la anterior, de 24 de marzo, que aprobaba que fuera excarcelada el 4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recibió el 15 de abril un oficio del director del centro penitenciario en el que se indicaban las posibles fechas de licenciamiento definitivo en función del criterio de cómputo de redención que se aplicase, señalando que, de seguirse el fijado en la STS 197/2006, la fecha de excarcelación sería el 25 de agosto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27 de abril de 2009, la Sección Tercera de la Sala de lo Penal de la Audiencia Nacional desestimó el recurso de súplica, mantuvo la providencia de 7 de abril impugnada y acordó, a la vista de la última propuesta formulada por el centro penitenciario, que, de conformidad con el criterio establecido por la citada Sentencia de la Sala de lo Penal del Tribunal Supremo, el licenciamiento definitivo de la penada debería tener lugar el 25 de agosto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dicho Auto la penada presentó el 1 de junio de 2009 una solicitud de nulidad de actuaciones, la cual fue inadmitida a trámite por providencia de 23 de junio siguiente, catorce días después de que, el 9 de junio, la demandante hubiera solicitado de este Tribunal Constitucional que se diera trámite al presente recurso de amparo mediante la designación de Procurador del turno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justificar la especial trascendencia constitucional del recurso en la necesidad de un pronunciamiento del Tribunal Constitucional sobre una cuestión que era entonces novedosa en su jurisprudencia (la doctrina de la Sala de lo Penal del Tribunal Supremo fijada en la Sentencia 197/2006, de 28 febrero, sobre el cómputo de la redención de penas en caso de cumplimiento de penas acumuladas), cuestión que, además, se considera que trasciende al caso concreto y afecta a numerosos penados que se hallan cumpliendo diversas penas acumuladas a cuyo cumplimiento se ha fijado un límite máximo, la recurrente invoca como vulnerados en su demanda de amparo los derechos fundamentales a la igualdad (art. 14 CE) a la libertad y seguridad (art. 17.1 CE), a la tutela judicial efectiva (art. 24.1 CE), a la defensa (art. 24.2 CE); así como el principio de legalidad y seguridad jurídica, y la orientación de las penas privativas de libertad y medidas de seguridad hacia la reeducación y reinserción social (art. 25.1 y 2 CE), fundamentando su demanda de amparo en los ocho motivos o quejas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aduce la vulneración del principio acusatorio, del derecho a la defensa y a la contradicción en relación con el derecho a la tutela judicial efectiva y a un proceso público con todas las garantías, y “todo ello en relación con el derecho a la libertad, recogido en el artículo 17 de la CE”. Con cita de las SSTC 11/1987 y 123/2005, la demanda expone que la providencia de 7 de abril de 2009, ratificada por el posterior Auto de 27 de abril, se dictaron sin dar traslado a la penada o a su defensa del escrito de 3 de abril de 2009 del centro penitenciario por el que se solicitaba aclaración sobre la fecha de licenciamiento definitivo, por lo que no se dio a la demandante la posibilidad de discutir previamente su contenido ni la aplicación en su caso del criterio de cómputo de la redención finalmente aplicado, asumiendo el órgano judicial funciones acusatorias, rompiendo así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se afirma la vulneración del principio de legalidad (art. 25.1 y 2 CE), en relación con la interpretación de los arts. 70.2 y 100 CP 1973, así como de los arts. 66 del Reglamento de prisiones de 1956 y del art. 202 del Reglamento penitenciario vigente. Argumenta, en tal sentido, que la interpretación llevada a cabo por el Tribunal Supremo, y aplicada en el presente caso, es ajena al tenor literal de dichas normas, pudiendo calificarse como extravagante, imprevisible e irrespetuosa, por ser contraria a la que venía siendo realizada hasta la fecha por los órganos judiciales, incluido el propio Tribunal Supremo. Entiende que dicha interpretación, en el caso de delitos graves, supone de hecho un agravamiento de su condena al situar el límite máximo de cumplimiento efectivo de la condena más allá de la aplicación de la redención o de la sujeción al tratamiento penitenciario, haciendo abstracción del art. 25 CE. Afirma que las resoluciones impugnadas niegan el carácter de beneficio penitenciario a las redenciones de condena. Expone que el art. 100 CP las configura como tiempo de “cumplimiento”, debiendo aplicarse a efectos de la liquidación de condena, y señala que, según el art. 202 del Reglamento penitenciario, suponen una reducción de la condena impuesta por el tiempo efectivo de internamiento. Entiende que deben descontarse del tiempo máximo de cumplimiento los beneficios penitenciarios y por tal razón considera que tendría extinguida su condena desde el 4 de junio de 2009. Posteriormente cita los arts. 66 y 71.3 del Reglamento de servicios y prisiones de 1956, para reforzar su afirmación de la procedencia de descontar del máximo de cumplimiento, y no de cada una de las penas individualmente considerada, los beneficios que supongan un acortamiento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se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 las redenciones aprobadas por los Juzgados de vigilancia penitenciaria, intangibles y firmes, aplicadas —como se venía haciendo— al tope de treinta años, suponían un acortamiento de dicha duración. El trabajo y los estudios en la prisión se realizaron en la confianza de que las redenciones así obtenidas implicarían un acortamiento del tiempo de permanencia en prisión, y se generó una expectativa de acortamiento sobre la base de la actuación de los Juzgados de vigilancia penitenciaria y las Audiencias que aprobaron las redenciones propuestas por las diferentes prisiones. La defraudación de esa expectativa con la nueva doctrina aplicada genera inseguridad jurídica y vulnera el derecho a la tutela judicial efectiva, en relación con el derecho a la libertad, que implica un deber reforzado de motivación. Citando la STC 174/1989, afirma que se habría lesionado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cuarto motivo de amparo se argumenta la violación del derecho a la tutela judicial efectiva (art. 24.1 CE), en cuanto garantiza la intangibilidad de las resoluciones judiciales firmes, y en relación con los principios de legalidad y seguridad jurídica. Se afirma que el Auto que acordó acumular las condenas impuestas a la penada fijando en una duración de treinta años de privación de libertad el tiempo máximo de cumplimiento significa la conformación de una sola condena susceptible de reducción por redención de penas. Cuestiona que sea una resolución de mero trámite la providencia de 23 de marzo de 2009 que aprobó la inicial propuesta de licenciamiento definitivo, por lo que sólo podía ser modificada mediante los recursos previstos por la ley. En tal medida, al no haber sido recurrida, la misma devino firme e intangible.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afirma la vulneración del principio de legalidad (arts. 25.1 y 9.3 CE), entendiéndose que las resoluciones efectúan una aplicación retroactiva de una norma penal desfavorable, en relación con los arts. 7 del Convenio europeo para la protección de los derechos humanos y de las libertades fundamentales (CEDH) y 15 del Pacto internacional de derechos civiles y políticos (PIDCP). Considera que la resolución impugnada realiza una aplicación fraudulenta del art. 78 CP 1995, violándose así la legalidad cuando se hace una aplicación de una norma penal, cuya entrada en vigor sea posterior al hecho enjuiciado, si resulta imprevisible concluir que dicha norma era más beneficiosa para el acusado. Afirma que el Código penal de 1973 no contempla aplicar la redención sobre cada una de las penas; indica que tal posibilidad sí se contempla en el Código penal de 1995, en relación con los beneficios penitenciarios y la libertad condicional, por lo que entiende que la Sentencia del Tribunal Supremo no efectúa una nueva interpretación del art. 70.2 CP sino que lo que de facto realiza es una aplicación retroactiva del criterio establecido en el art. 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y el Voto particular de la STS 197/2006). Afirma que se trata de una nueva lectura del art. 70.2 CP 1973 provocada por factores extrajudiciales, dados los sujetos pasivos a los que afecta, y por las circunstancias en que se adopta la decisión, suponiendo, por tanto, un cambio de criterio ad personam.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de nuevo, la vulneración del derecho a la libertad personal (art. 17.1 CE). Tras poner de relieve que, conforme a la jurisprudencia de este Tribunal, la redención de penas por el trabajo afecta al derecho a la libertad (SSTC 31/1999 y 76/2004), se sostiene que el mencionado cambio de criterio jurisprudencial contra el reo modifica su expectativa de libertad, implicando un alargamiento de su estancia en prisión, sin base legal ni reglamentaria y en contra de la práctica habitual y pacífica. Reproduce parcialmente el Voto particular de la STS 197/2006, añadiendo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Indica que la demandante cumplió la condena el 4 de junio de 2009, según se desprende de la liquidación de condena realizada por la prisión de Dueñas (Palencia). Por todo ello, estima que las resoluciones impugnadas violan el art. 17 CE y los arts. 5 y 7.1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la vulneración del art. 25.2 CE en relación con las reglas mínimas para el tratamiento de los reclusos y el Pacto internacional de derechos civiles y políticos, al incumplir el principio conforme al cual las penas privativas de libertad y medidas de seguridad deben ir orientadas hacia la reeducación y reinserción social. Indica que la reclusión excesivamente prolongada puede producir efectos irreparables en la personalidad, y que la institución de redención de penas estaba orientada a la resocialización y reeducación, objetivos que no pueden satisfacerse con la interpretación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 medida cautelar ésta que reiteró en escritos registrados el 5 y 29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Tercera de la Sala de lo Penal de la Audiencia Nacional para que en el plazo no superior a diez días remitiera testimonio de las actuaciones correspondientes a la ejecutoria núm. 79-1996, interesándose al propio tiempo el emplazamiento de quienes fueron parte en el procedimiento, a excepción de la recurrente,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acordó la formación de pieza separada para la tramitación del incidente sobre la suspensión solicitada, concediendo a la recurrente y al Ministerio Fiscal un plazo común de tres días para que alegasen lo que estimasen pertinente sobre dicha suspensión. Evacuado dicho trámite de alegaciones, la Sala desestimó la solicitud de suspensión mediante Auto de 7 de mayo de 2012, ratificado en su contenido por providencia de 21 de agosto siguiente, desestimatoria de una nueva solicitud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3 de septiembre de 2012, se tuvieron por recibidos los testimonios de las actuaciones remitidos por la Sección Tercera de la Sala de lo Penal de la Audiencia Nacional y se procedió, conforme a lo establecido en el art. 52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presentó su escrito de alegaciones en este Tribunal el 5 de octubre de 2012, en el que ratifica y renueva las formuladas en la demanda de amparo, con cita, en relación con el motivo primero, de la STC 11/1987, cuya doctrina considera aplicable al caso. Sobre el segundo motivo considera aplicable la ratio de la doctrina que en la STC 57/2008 condujo a la estimación del amparo solicitado. En relación con las cuestiones de fondo pone de relieve la similitud fáctica de su caso con el abordado y resuelto en la STC 62/2012, de 29 de marzo, que considera aplicable. En lo demás, ratifica 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este Tribunal su escrito de alegaciones el 16 de octubre de 2012. En ellas pone de relieve que las resoluciones impugnadas en el presente proceso de amparo lo fueron también posteriormente en un nuevo escrito que ha dado lugar a un nuevo proceso de amparo con núm. 7468-2009, en el que junto a éstas se impugnó también la providencia de 23 de junio de 2009 por la que la Sección Tercera de la Sala de lo Penal de la Audiencia Nacional inadmitió la solicitud de nulidad de actuaciones instada por la demandante el 1 de junio contra el Auto de 27 de abril de 2009 que señaló nueva fecha de licenciamiento definitivo. Dicho recurso de amparo núm. 7468-2009 concluyó por medio de la STC 60/2012, de 29 de marzo, que lo inadmitió al apreciar falta de agotamiento de la vía judicial previa por no haber intentado la recurrente acudir en la vía judicial previa al recurso de casación que podía interponerse contra el Auto de 27 de abril que fijó nueva fecha de licenciamiento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siendo el objeto del presente proceso de amparo exactamente el mismo del ya reseñado recurso de amparo 7498-2009, que fue inadmitido en Sentencia, considera que procede su inadmisión por la misma causa entonces apreciada, es decir, por falta de agotamiento de la vía judicial previa, al haberse acudido directamente al amparo sin haber intentado el recurso de casación. Subsidiariamente, para el caso de que no fuera apreciada la concurrencia de la causa de inadmisión señalada, el Fiscal interesa la estimación de la pretensión de amparo de conformidad con lo resuelto en la STC 62/2012,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noviembre de 2012 se acordó señalar para deliberación y votación de la presente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27 de abril de 2009, desestimatorio del recurso de súplica interpuesto contra la providencia de 7 de abril de 2009, por la que se acordó fijar como nueva fecha para el licenciamiento definitivo de la recurrente el día 25 de agosto de 2021, en aplicación del criterio establecido por la Sentencia de la Sala de lo Penal del Tribunal Supremo núm. 197/2006, de 28 de febrero, según la cual, en caso de condenas acumuladas, la redención de penas por el trabajo ha de computarse sobre cada una de las penas impuestas que se cumplen sucesivamente por orden de gravedad y no sobre el límite máximo de cumplimiento efectivo que pudiera haberse fijado en aplicación del art. 70.2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 los derechos fundamentales a la tutela judicial efectiva sin indefensión (art. 24.1 CE); del derecho de defensa (art. 24.2 CE), a la legalidad de las infracciones y sanciones (art. 25.1 CE), en conexión con los principios del art. 9.3 CE; a la tutela judicial efectiva en la vertiente que garantiza la intangibilidad de las resoluciones judiciales firmes (art. 24.1 CE), en relación con los principios de legalidad y seguridad jurídica (art. 9.3 CE); y a la igualdad en la aplicación de la ley (art. 14 CE); todo ello en relación con el derecho a la libertad personal (art. 17.1 CE). También se alega la vulneración del art. 25.2 CE en relación con las reglas mínimas para el tratamiento de los reclusos y el Pacto internacional de derechos civiles y políticos, al incumplir el principio de que las penas privativas de libertad y medidas de seguridad deben ir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con carácter principal la inadmisión del recurso de amparo ex arts. 44.1 a) y 50.1 a) de la Ley Orgánica del Tribunal Constitucional (LOTC), por considerar incumplido el requisito del agotamiento de la vía judicial y, subsidiariamente, su estimación por considerar vulnerado el derecho a la tutela judicial efectiva en cuanto garantiza la intangibilidad de las resoluciones judiciales firmes, tal y como se resolvió en la STC 62/2012,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venimos recordando reiteradamente,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y STC 89/2011, de 6 de junio, FJ 2).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examen de las actuaciones remitidas el pasado 25 de junio de 2012 por la Sala de lo Penal de la Audiencia Nacional, tras acordar la admisión a trámite de la presente demanda de amparo, permite constatar una actuación procesal de parte a la que la demandante no ha hecho referencia alguna a lo largo de este proceso de amparo, que permite apreciar la concurrencia de la causa de inadmisión de falta de agotamiento de la vía judicial previa [art. 50.1 a), en relación con el art. 44.1 a) LOTC], por haberse simultaneado el presente recurso de amparo con una solicitud de nulidad de actuaciones presentada contra el mismo Auto de 27 de abril de 2009, impugnado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SSTC 32/2010, de 8 de julio, FJ 2 y 105/2011,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una vez recibidas las actuaciones judiciales de la ejecutoria núm. 79-1996 en la que se dictaron las resoluciones cuestionadas en amparo, ha quedado acreditado que el 1 de junio de 2009, la representación procesal de la recurrente, con asistencia letrada, tras serle notificado el Auto de 27 de abril de 2009 que impugna en este proceso, procedió, al amparo de lo establecido en el art. 241.1 de la Ley Orgánica del Poder Judicial, a solicitar la nulidad de dicha resolución y de la providencia recurrida en súplica alegando la supuesta vulneración de los arts. 17, 24.1, 25.1 y 2 de la Constitución. Esta solicitud de nulidad fue posteriormente inadmitida a trámite mediante providencia de 23 de junio. Pero en el ínterin, mientras se tramitaba la solicitud de nulidad de actuaciones, doña Itziar Martínez Sustatxa acudió a este Tribunal Constitucional mediante escrito registrado 9 de junio de 2009 anunciando su deseo de recurrir en amparo el citado Auto de 27 de abril, designando asistencia letrada al efecto y solicitando la designación de Procurador del turno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pone de manifiesto que cuando el 9 de junio de 2009 formuló su solicitud de amparo con designación de Letrado y paralela petición de designación de Procurador de oficio, mantenía abierta la vía judicial previa, merced a una solicitud de nulidad de actuaciones que no fue definitivamente resuelta sino catorce días más tarde, el 23 de junio siguiente. Por tanto, concurre el óbice procesal de falta de agotamiento de la vía judicial previa [art. 50.1 a), en relación con el art. 44.1 a) LOTC], al haberse hecho coexistir esta jurisdicción de amparo con la vía judicial ordinaria, pues, como este Tribunal ha puesto de manifiesto en anteriores ocasiones, es la fecha en la que se registra en este Tribunal la solicitud de amparo, con o sin simultánea solicitud de designación de Abogado o Procurador de oficio, la que marca el dies ad quem de su interposición (ATC 163/2009, de 21 de mayo, FJ 2), pues con este proceder procesal la demandante compareció ante este Tribunal Constitucional cuando aún no se habían resuelto los medios de impugnación que había puesto en marcha dentro de la vía judicial previa, provocando así la coexistencia temporal de ambos procedimientos, el de la jurisdicción ordinaria y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que antecede resulta procedente dictar Sentencia inadmitiendo el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Itziar Martínez Sustatxa.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