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10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1134-2010, promovido por don Carlos Luis Trujillo Abreu, representado por el Procurador de los Tribunales don Alberto Collado Martín y asistido por el Abogado don José María Escalona Lara, contra los Autos de 15 de septiembre de 2009 y 2 de diciembre de 2009, dictados por el Juzgado de Vigilancia Penitenciaria núm. 4 de Andalucía, por los que se desestiman los recursos de alzada y reforma, respectivamente, interpuestos por el recurrente contra el acuerdo sancionador de la comisión disciplinaria del centro penitenciario Puerto I, de 11 de agosto de 2009 (ED 452-2009-1101). Ha intervenido el Ministerio Fiscal. Ha sido parte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11 de febrero de 2010, don Carlos Luis Trujillo Abreu, interno en esa fecha en el centro penitenciario de Valdemoro (Madrid), solicita asistencia jurídica gratuita a fin de interponer recurso de amparo contra los Autos dictados por el Juzgado de Vigilancia Penitenciaria núm. 4 de Andalucía en el expediente 481-2009 y contra el expediente disciplinario núm. 452-2009. Efectuados los trámites oportunos, y una vez designados Procurador y Abogado del turno de oficio, el día 5 de abril de 2010 el Procurador de los Tribunales don Alberto Collado Martín, en nombre y representación de don Carlos Luis Trujillo Abreu, interpuso demanda de amparo contra las resoluciones judiciales y administrativas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16 de julio de 2009, el recurrente, interno en el centro penitenciario del Puerto de Santamaría (Puerto I), empleando un impreso de los utilizados en la prisión para cursar instancias, formuló un escrito dirigido en su encabezamiento al Juzgado de Vigilancia Penitenciaria núm. 4 de Andalucía, haciendo constar en dicho encabezamiento lo siguiente: “Escrito de queja contra: el Director de Puerto I … por apropiarse de mi dinero indebidamente para un fin malicioso”. No existe constancia en las actuaciones acerca de si dicho escrito fue introducido en un sobre por el interno, ni de si el mismo, en su caso, estaba abierto o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escrito fue examinado por un funcionario del centro penitenciario, que accedió a su contenido y estimó que contenía expresiones ofensivas, comunicándolo a la dirección del centro penitenciario. El día 20 de julio, el director ordenó la incoación de procedimiento disciplinario contra el interno. El 11 de agosto de 2009, la comisión disciplinaria del centro penitenciario Puerto I adoptó un acuerdo sancionador en el que imponía al interno la sanción de treinta días de privación de paseos y actos recreativos comunes [art. 111 e) del Reglamento penitenciario], por la comisión de una falta grave tipificada en art. 109 h) del citado reglamento. El acuerdo contiene la siguiente declaración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16/07/09 el interno Carlos L. Trujillo Abreu cursó un escrito al JVP en el que acusaba al Director del Puerto I de no querer efectuar el ingreso del dinero transferido por el BSCH a su cuenta de peculio, ya que éste le acosa y tiene obsesión por ser venezolano y de Caracas y según palabras textuales del interno: ‘no me gustan los hombres, soy heterosexual’.”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el citado acuerdo sancionador el interno interpuso recurso de alzada ante el Juzgado de Vigilancia Penitenciaria, invocando la lesión de los derechos fundamentales consagrados en los arts. 15; 18; 20; 24, tanto en lo relativo al derecho de defensa como al derecho a la utilización de los medios de prueba y la presunción de inocencia; y 25 CE. En concreto, y entre otros extremos, el interno ponía de manifiesto que el escrito dirigido al Juez de vigilancia se realizó de conformidad con lo previsto en la Ley y el Reglamento penitenciario, y que el centro penitenciario debió dar curso al escrito, no estando autorizado para acceder al contenido de sus quejas y divulgarlas.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15 de septiembre de 2009, el Juzgado de Vigilancia Penitenciaria núm. 4 de Andalucía desestima el recurso de alzada. Tras resolver otras quejas (vulneración del derecho a la asistencia letrada y a la utilización de medios de prueba, que rechaza), afirma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asunto el interno no niega los hechos sino que manifiesta que sus expresiones no pueden ser objeto de sanción al no tener su correspondencia intervenida. Sin embargo ya ha establecido nuestra Audiencia provincial que el secreto de las comunicaciones no ampara a escritos que van dirigidos a integrarse a un expediente judicial, y que la Administración Penitenciaria no puede verse obligada a colaborar en hechos presuntamente delictivos. En concreto, en auto de 11 de junio (Rollo de apelación 180-2009) se recoge “no puede haber infracción del derecho a la intimidad porque la queja no tiene por objeto permanecer en el conocimiento exclusivo y privado del interesado y el destinatario, sino que se integra en un expediente, primero administrativo y luego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recurso de reforma, igualmente desestimado por Auto del Juzgado de Vigilancia Penitenciaria núm. 4 de Andalucía, de 2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la infracción del art. 24.2 CE en su vertiente de derecho a la asistencia letrada, ya que se le habría privado de comparecer asistido de Letrado tanto en el procedimiento sancionador como en el recurso de reforma tramitado por el Juzgado de Vigilancia Penitenciaria núm. 4 de Andalucía. Además, denuncia la infracción del art. 20.1 a) CE, ya que sus expresiones no pueden ser objeto de sanción al no tener su correspondencia intervenida, estando dirigido su acto a poner única y exclusivamente en conocimiento del Juez de vigilancia penitenciaria una actuación administrativa que consideraba no ajustada a Derecho. En tercer lugar, alega la vulneración del art. 25.1 CE, toda vez que hizo uso del derecho reconocido en el artículo 50.1 de la Ley penitenciaria, que dispone que los internos tienen derecho a formular peticiones y quejas, sin incurrir, por tanto, en la supuesto sancionable del art. 109 h) del Reglamento penitenciario, ya que no divulgó descalificación alguna contra el director de Puerto I. Sostiene a tal fin que la queja se contenía en sobre cerrado; que no tenía su correspondencia intervenida; que el escrito iba dirigido al Juez de vigilancia penitenciaria y que no puso al alcance del público sus contenidos, por lo que no podría hablarse de divulgación de datos falsos del director del centro penitenciario, ni, en consecuencia, iniciarse un procedimiento sancionador que fue tramitado. Finalmente, denuncia la lesión del art. 18 CE, subrayando que el interno goza, en principio, del derecho al secreto de las comunicaciones, y que el director del centro utilizó la lectura del contenido de la queja —que, evidentemente, no tenía que leer ya que no iba dirigida a él— para iniciar un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16 de julio de 2012, se acordó la admisión a trámite de la demanda de amparo, y habiéndose recibido el testimonio de las actuaciones, remitido por el Juzgado de Vigilancia Penitenciaria núm. 4 de Andalucía, abrir un plazo común de veinte días al Ministerio Fiscal, al Abogado del Estado y a la representación procesal del recurrente, de conformidad con el art. 52 Ley Orgánica del Tribunal Constitucional (LOTC), para que pudieran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6 de septiembre de 2012 tuvo entrada en el Registro General de este Tribunal el escrito de alegaciones del Abogado del Estado, en el que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que el art. 18.3 CE —único derecho de los que se invocan en la demanda que podría poseer a su juicio consistencia, en atención a la doctrina sentada por las SSTC 127/1996, de 9 de julio; 175/2000, de 28 de julio; y 107/2012, de 21 de mayo— prohíbe la suspensión, restricción o intervención administrativa de las comunicaciones del interno con la autoridad judicial, con independencia de que el escrito se entregue para su curso en sobre abierto o cerrado. No obstante, en su opinión, dicha doctrina constitucional debería ser matizada, ya que no debe recibir el mismo tratamiento la entrega de un escrito de queja en sobre cerrado —con lo que se manifiesta la clara voluntad de que el contenido no sea conocido por la Administración penitenciaria—, que la que se produce en sobre abierto, pues en este caso no puede afirmarse que el remitente haya querido preservar la impenetrabilidad de la comunicación respecto de quienes intervengan en la transmisión del mensaje. Dicha diferenciación debería operar en esta ocasión, dado que, según afirma en otro lugar de su escrito, consta en las actuaciones (resolución instructora de 22 de julio de 2009) que el interno cursó la queja sin introducirla en sobre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mediante escrito que tuvo su entrada en el Registro General de este Tribunal el día 14 de septiembre de 2012, en el que sustancialmente reproduce los argumentos ya expuestos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 de octubre de 2012 presentó sus alegaciones el Ministerio Fiscal, interesando el otorgamiento del amparo por vulneración del art. 18.3 CE, así como la anulación de la resolución sancionadora y de las resoluciones judiciales que la confirmaron.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Ministerio público que la demanda plantea un supuesto idéntico al analizado en la reciente STC 107/2012, dictada como consecuencia de un recurso de amparo formulado por el mismo recurrente y por iguales motivos a los ahora deducidos. Tras descartar que pueda prosperar el resto de las alegaciones, destaca, respecto de la denunciada vulneración del derecho al secreto de las comunicaciones (art. 18.3 CE), que el interno dirigió una instancia al órgano judicial, único destinatario, que fue examinada, sin embargo, por funcionarios de la prisión. El hecho de que la instancia se hallara o no en sobre cerrado no posee relevancia alguna, pues se trataba inequívocamente de un escrito de queja dirigido al Juez (así constaba en el encabezamiento del mismo) por un interno cuyas comunicaciones no estaban intervenidas con la preceptiva previa aprobación judicial, habiéndose arrogado con ello los responsables del centro penitenciario “la facultad de establecer una suerte de control previo sobre aquello que ha de ser examinado en exclusiva por la autoridad judicial”. De tan peculiar comportamiento se derivó, a mayor abundamiento, la incoación de un expediente disciplinario en el que los propios afectados sancionaron las expresiones que ellos mismos consideraron injuriosas, todo lo cual conduce a la estimación del recurso, al igual que hiciera la STC 107/2012, de 21 de mayo, en un supuesto idéntico que protagonizó el mismo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diciembre de 2012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los Autos de 15 de septiembre de 2009 y 2 de diciembre de 2009 del Juzgado de Vigilancia Penitenciaria núm. 4 de Andalucía, que desestimaron los recursos de alzada y reforma, respectivamente, interpuestos por el recurrente contra el acuerdo sancionador de la comisión disciplinaria del centro penitenciario Puerto I, de 11 de agosto de 2009 (ED 452-2009-1101). La sanción impuesta al interno lo fue como consecuencia de las manifestaciones vertidas en un escrito de queja dirigido al Juez de vigilancia penitenciaria, a cuyo contenido accedieron los funcionarios del centro penitenciario y en función del cual se incoó el expediente disciplinario al interno. No existe constancia en las actuaciones acerca de si dicho escrito fue introducido en un sobre por el interno, ni de si el mismo, en su caso, estaba abierto o cerrado.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la vulneración de los derechos fundamentales al secreto de las comunicaciones (art. 18.3 CE), a la libertad de expresión [art. 20.1 a) CE], a la utilización de medios de prueba pertinentes para la defensa y a la asistencia letrada (art. 24.2 CE), y del derecho a la legalidad sancionadora del art. 25.1 CE. El Abogado del Estado interesa que se acuerde la desestimación de la demanda. El Ministerio Fiscal, por el contrario, solicita que se otorgue el amparo por vulneración del art. 18.3 CE, y que se anulen tanto la resolución sancionadora como los Autos judiciales recurridos que la confirmaron.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Pone de relieve con acierto el Ministerio Fiscal que la presente demanda plantea un supuesto en esencia idéntico al analizado en la reciente STC 107/2012, de 21 de mayo, dictada a raíz de un recurso de amparo formulado por el mismo recurrente y por motivos sustancialmente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centraremos en la alegación relativa al art. 18.3 CE, puesto que, como dijimos en aquel pronunciamiento, adquiere también en este caso el carácter de queja principal de la demanda. En efecto, gravita ésta alrededor de la vulneración del derecho al secreto de las comunicaciones, de la que deriva, como se verá, la única prueba valorada en el expediente sancionador. Por tanto, en el caso de que dicha vulneración se hubiera producido, este Tribunal debería proceder directamente a su reparación, anulando el acuerdo sancionador y los Autos del Juzgado de Vigilancia Penitenciaria que lo confirmaron, sin necesidad de entrar en un análisis de los mismos, que sólo tendría un efecto retardatorio para la tutela del derecho sustantivo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las actuaciones se desprende que el demandante de amparo hizo constar expresamente en el encabezamiento de su escrito que se trataba de una queja contra el director de Puerto I que dirigía al Juez de Vigilancia Penitenciaria núm. 4 de Andalucía. Es pues evidente que nos encontramos ante una comunicación entre el interno y la autoridad judicial cuya intervención administrativa se encuentra constitucionalmente vedada, de conformidad con la doctrina recogida en aquel reciente pronunciamiento constitucional,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ausencia de habilitación legal y la prohibición reglamentaria expresa de la intervención administrativa de una comunicación dirigida a un órgano judicial por quien se encuentra recluido en un centro penitenciario, la jurisprudencia constitucional ha afirmado que tal intervención se encuentra constitucionalmente proscrita y vulnera el derecho al secreto de las comunicaciones del interno. Y ello con independencia de que el escrito se entregue para su curso en sobre abierto o cerrado o sin introducirlo en sobre alguno, pues en cualquier caso su destinatario es el Juez y la norma constitucional que garantiza el secreto de la comunicación se dirige inequívocamente a preservar su impenetrabilidad por terceros ajenos a la comunicación misma. Así lo hemos declarado expresa e inequívocamente en las SSTC 127/1996, de 9 de julio, FJ 4; y 175/2000, de 26 de junio, FJ 4, y lo reiteramos ahora, destacando la irrelevancia de que el escrito se introduzca o no en un sobre por parte del interno, pues lo constitucionalmente vedado es el acceso a la comunicación entre el Juez y el interno.”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los funcionarios del centro penitenciario accedieron al contenido del escrito de queja, vulnerando de este modo el derecho al secreto de las comunicaciones del recurrente (art. 18.3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Lejos de detenerse en ello, a raíz de dicha intervención se incoó un procedimiento disciplinario contra el interno con el resultado sancionatorio descrito en los antecedentes de esta resolución. La STC 107/2012 estableció en relación con ese proceder que las garantías contenidas en el art. 24.2 CE son aplicables no sólo al proceso penal, sino también, con las matizaciones derivadas de su propia naturaleza, a los procedimientos administrativos sancionadores y, en concreto, al procedimiento disciplinario penitenciario; y que, entre las garantías aplicables ex art. 24.2 CE a los procedimientos sancionadores en el ámbito penitenciario, se encuentra la prohibición de utilizar y valorar pruebas obtenidas con vulneración de un derecho fundamental (por todas, STC 175/2000, de 26 de junio, FJ 5), circunstancia que constituye, en primer término, una lesión del derecho a un proceso con todas las garantías (art. 24.2 CE), porque implica una ignorancia de las reglas propias de un proceso justo, y conlleva asimismo la vulneración del derecho a la presunción de inocencia si la sanción se sustenta exclusivamente en dicha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del examen del expediente sancionador se desprende inequívocamente que la sanción que se impone al demandante tiene como único hecho justificador ciertas expresiones vertidas en el escrito de queja dirigido al Juez de vigilancia penitenciaria. De otra parte, resulta plenamente acreditado que la única prueba en virtud de la cual se consideraron probados los hechos imputados vino constituida por el propio escrito del recurrente, cuyo contenido se recoge en el pliego de cargos, en la propuesta de resolución y en el propio acuerdo sancionador. En atención a ello, hemos de declarar que con tal actuación la Administración penitenciaria vulneró no sólo el derecho al secreto de las comunicaciones del recurrente, sino también su derecho a un proceso con todas las garantías y a la presunción de inocencia (art. 24.2 CE), en la medida en que la prueba que sirvió de base al acuerdo sancionador fue la obtenida violando el derecho fundamental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constatación de las anteriores vulneraciones por parte de la Administración penitenciaria conduce al otorgamiento del amparo, declarando la nulidad tanto del acuerdo sancionador de la comisión disciplinaria del centro penitenciario Puerto I, como de los Autos del Juzgado de Vigilancia Penitenciaria núm. 4 de Andalucía que lo confirman, en la medida en que las vulneraciones de derechos fundamentales no fueron reparadas en los mencionados Autos, desconociendo la función que al Juzgado de Vigilancia Penitenciaria le corresponde a la hora de garantizar los derechos fundamentales de los internos (SSTC 97/1995, de 20 de junio, FJ 5; 175/2000, de 26 de junio, FJ 6; 237/2002, de 9 de diciembre, FJ 6; 346/2006, de 11 de diciembre, FJ 6; y 59/2011, de 3 de mayo, FJ 7, entre otras muchas). Precisamente por ello debemos dejar bien claro, con el objetivo de evitar que actuaciones semejantes se sigan produciendo, que nuestra doctrina es inequívoca en el sentido de que las comunicaciones entre los reclusos y la autoridad judicial, se envíen en sobre cerrado o abierto, están siempre amparadas por el derecho que el art. 18.3 CE garantiza. Esta anulación hace innecesario un pronunciamiento acerca de las restantes vulneraciones denunciadas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Carlos Luis Trujillo Abreu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los derechos del recurrente al secreto de las comunicaciones (art. 18.3 y 25.2 CE), al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sancionador de la comisión disciplinaria del centro penitenciario Puerto I, de 11 de agosto de 2009 (ED 452-2009-1101), así como la de los Autos del Juzgado de Vigilancia Penitenciaria núm. 4 de Andalucía, de 15 de septiembre de 2009 y 2 de diciembre de 2009.</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