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233</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diciembre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Ramón Rodríguez Arribas, don Francisco José Hernando Santiago, don Luis Ignacio Ortega Álvarez, don Francisco Pérez de los Cobos Orihuel y doña Encarnación Roca Trías.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3733-2011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3733-2011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Archivar el presente recurso de amparo por pérdida de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de 22 de junio de 2011, la Letrada doña Rosa María Sanz Carrasco, designada por el turno de oficio para la asistencia de doña Fátima Madam Sa, comunicó la intención de su defendida de interponer recurso de amparo contra el Auto del Juzgado de lo Contencioso-Administrativo núm. 12 de Madrid de 12 de mayo de 2012, por el que se desestima el recurso de reposición interpuesto contra el Decreto del Secretario judicial de dicho Juzgado de 23 de febrero de 2011, por el que se admite a trámite el procedimiento abreviado núm. 800-2010 y se señala la celebración de la vista el 23 de febrero de 2015. Tras la designación de Procurador del turno de oficio, que recayó en el Procurador de los Tribunales don Antonio Abelardo Moreiras Montalvo, mediante escrito fechado el 28 de octubre de 2011 se formalizó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tiene su origen en los siguientes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recurrente formuló demanda contencioso-administrativa el 8 de noviembre de 2010 contra la resolución de la Delegación del Gobierno en Madrid de 25 de agosto de 2010, por la que se acuerda su expulsión del territorio nacional en aplicación de la legislación de extranjería, dando lugar al procedimiento ordinario núm. 800-2010 que fue tramitado por el Juzgado de lo Contencioso-Administrativo núm. 12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Secretario del Juzgado mediante Decreto de 23 de febrero de 2011 acordó la admisión de la demanda interpuesta y citar a las partes para la vista a celebrar el 23 de febrero de 2015. La recurrente interpuso recurso de reposición, alegando la vulneración del derecho a un proceso sin dilaciones indebidas (art. 24.2 CE), que fue desestimado por Auto de 12 de mayo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aduce en su demanda de amparo la vulneración del derecho a un proceso sin dilaciones indebidas (art. 24.2 CE), con fundamento en que un plazo de demora de cuatro años para la celebración de la vista oral resulta excesivo e injustificado.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de este Tribunal, por providencia de 21 de junio de 2011, acordó la admisión a trámite del presente recurso de amparo y, conforme a lo dispuesto en el art. 51 de la Ley Orgánica del Tribunal Constitucional (LOTC), requerir al órgano judicial la remisión de copia testimoniada de las actuaciones y el emplazamiento a quienes hubieran sido parte en el procedimiento para que pudieran comparecer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Secretaría de Justicia de la Sala Segunda de este Tribunal, por diligencia de ordenación de 27 de julio de 2012, tuvo por recibido testimonio de las actuaciones, por personado al Abogado del Estado y, a tenor de lo dispuesto en el art. 52 LOTC, se acordó dar vista de las actuaciones al Ministerio Fiscal y a las partes personadas por plazo común de veinte días para que pudieran presentar las alegaciones que estimasen pertinentes.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por escrito fechado el 17 de septiembre de 2012, solicitó la inadmisión del recurso y, subsidiariamente, su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por escrito fechado el 30 de octubre de 2012, interesó el otorgamiento del amparo por vulneración del derecho a un proceso sin dilaciones indebidas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recurrente, por escrito fechado el 16 de octubre de 2012, puso de manifiesto que el recurso de amparo había perdido objeto, toda vez que el Juzgado de lo Contencioso-Administrativo núm. 12 de Madrid había dictado el Auto de 3 de octubre de 2012 declarando terminado el procedimiento judicial por satisfacción extraprocesal al haber comunicado la Administración que se había procedido a archivar el expediente de expulsión.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Sala Segunda de este Tribunal, por providencia de 17 de octubre de 2012, acordó otorgar un plazo común de diez días al Ministerio Fiscal y las partes personadas para que formularan alegaciones en relación con la carencia sobrevenida de objeto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por escrito fechado el 29 de octubre de 2012, puso de manifiesto que procedía que se declarara la pérdida de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Ministerio Fiscal, por escrito fechado el 12 de noviembre de 2012, informó que no se oponía a que se acordara la carencia sobrevenida de objeto, una vez verificado que se había terminado el procedimiento subyacente por satisfacción extraprocesal y no existir ningún interés público que justifique su continuación ni constar la oposición de tercero.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desaparición sobrevenida del objeto del proceso, aun cuando no contemplada expresamente en el art. 86.1 de la Ley Orgánica del Tribunal Constitucional, ha sido reiteradamente admitida por este Tribunal como forma de terminación de los distintos procesos constitucionales, incluyendo el recurso de amparo. Igualmente, se ha destacado que dicha pérdida queda referida a los casos en los que, o bien los propios órganos judiciales han reparado directamente la lesión alegada ante este Tribunal, o bien ha desaparecido el acto o la causa origen del proceso de amparo (por todos, ATC 159/2011, de 21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como queda acreditado en las actuaciones, tras interponerse el presente recurso de amparo contra la decisión de señalamiento de la vista por considerar que incurría en dilaciones indebidas, se ha producido la terminación del procedimiento judicial por satisfacción extraprocesal, al constar el archivo del expediente administrativo de expulsión por parte de la Administración. Estos extremos son demostrativos de la carencia sobrevenida de objeto del presente recurso de amparo al haber desaparecido la causa origen del presente proceso.</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Archivar el presente recurso de amparo por pérdida de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diciembre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