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enero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6704-2004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6704-2004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Plantear cuestión interna de inconstitucionalidad respecto del art. 174.1 de la Ley general de la Seguridad Social, aprobada por Real Decreto Legislativo 1/1994, de 20 de junio, en la redacción dada por el art. 32.1 de la Ley 50/1998, de 30 de diciembre, de medidas fiscales, administrativas y del orden social, por oposición al art. 14.2 CE, con suspensión del plazo para dictar Sentencia en el presente recurso de amparo. </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demanda que tuvo entrada en el Registro General de este Tribunal el día 12 de noviembre de 2004, el Procurador de los Tribunales don C. H. S. interpuso recurso de amparo en nombre y representación de don Arturo F. L., contra la Sentencia de la Sala de lo Social del Tribunal Superior de Justicia de Asturias, de 8 de octubre de 2004, considerando que vulnera el art. 14 en relación con el art. 39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hechos de los que trae causa la demanda de amparo son, en síntesis, los siguientes. Don Arturo F. L., y don Manuel A. G., convivieron interrumpidamente más de cuarenta años hasta el fallecimiento de don Manuel A. G., el día 6 de agosto de 2002. En esa fecha tenía la condición de pensionista de jubilación. El demandante de amparo solicitó del Instituto Nacional de la Seguridad Social (INSS) el reconocimiento del derecho a pensión de viudedad, entendiendo que había de ser incluido por analogía dentro del art. 174 de la Ley general de la Seguridad Social, aprobada por Real Decreto Legislativo 1/1994, de 20 de junio (LGSS), lo que fue denegado en resolución de 14 de octubre de 2002 al no acreditar el solicitante matrimonio con el fallecido. Formalizó reclamación previa reiterando su pretensión, que resultó igualmente desestimada por resolución de 11 de diciembre de 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día 9 de enero de 2003 el recurrente en amparo presentó demanda para el reconocimiento de su derecho, que fue turnada al Juzgado de lo Social núm. 3 de Gijón, el cual dictó Sentencia el 15 de mayo de 2003 desestimando la pretensión por entender que el demandante no cumplía el requisito de la previa relación conyugal predicable de quien pretende ser beneficiario de una pensión de viudedad. Formalizado recurso de suplicación fundado en un único motivo, la violación por no aplicación de lo dispuesto en el art. 174 LGSS, en relación con los arts. 14, 32.1, 39.1, 41 y 53.3 CE, y todo ello en concordancia con los arts. 44 a 47 del Código civil y con los criterios de aplicación de las normas jurídicas contenidas en los arts. 3.1 y 4.1 de dicha norma. Dictó Sentencia la Sala de lo Social del Tribunal Superior de Justicia de Asturias, el día 8 de octubre de 2004, desestimando el recurso de suplicación con fundamento en la falta de cobertura legal de la pretensión del actor, ya que el art. 174 LGSS, al regular el reconocimiento de la prestación de viudedad, no contempla el supuesto litigioso, sin que sea posible la aplicación analógica que el demandante invoca.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aduce que se ha vulnerado su derecho fundamental a la igualdad y a la no discriminación (art. 14 CE) en relación con el art. 39 del texto constitucional. A su juicio, la denegación de la pensión de viudedad a la persona supérstite de una pareja homosexual que convivió ininterrumpidamente más de cuarenta años como si de un matrimonio se tratase supone una desigualdad de trato respecto de las parejas heterosexuales, y por tanto una discriminación por exclusiva razón de sexo, toda vez que al no existir posibilidad legal de contraer matrimonio entre personas del mismo sexo nunca pueden éstas encontrarse en la situación legal del art. 174 LGSS, en la medida en que dicho precepto sólo reconoce la pensión de viudedad al cónyuge supérstite. Por lo demás, afirma, el art. 174 LGSS viene a establecer una diferencia de trato entre miembros supervivientes de uniones estables según haya existido o no vínculo matrimonial, independientemente de la duración de la convivencia, la situación de necesidad o del desequilibrio económico causado por el fallecimiento, lo que contradice la consideración de un régimen público de la Seguridad Social para todos los ciudadanos que garantice la asistencia y prestaciones sociales suficientes ante situaciones de necesidad pues la norma protectora relativa a las pensiones de viudedad tiene como fin compensar frente a un daño y afrontar las repercusiones económicas negativas, y tal daño en las uniones estables se produce con independencia de que exista o no vínculo matrimonial.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19 de julio de 2006, la Sección Primera de este Tribunal acordó, de conformidad con lo dispuesto en el art. 50.3 de la Ley Orgánica del Tribunal Constitucional (LOTC), conceder a la parte demandante de amparo y al Ministerio Fiscal el plazo común de diez días para formular, con las aportaciones documentales que procedieran, las alegaciones que estimaran oportunas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recurrente, en escrito presentado en este Tribunal el día 7 de septiembre de 2006, solicitó la admisión a trámite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por su parte, evacuó el trámite mediante escrito registrado el 14 de septiembre de 2006, interesando la inadmisión del recurso por falta de contenido constitucional. Afirma que la obtención de una pensión de viudedad queda condicionada por la legislación vigente a la existencia de vínculo matrimonial, lo que posee una justificación que se basa en criterios razonables y no artificiosos, siendo además la medida proporcional al fin que se pretende conseguir, cual es el de un especial reconocimiento del matrimonio, tal y como postula el art. 32.1 CE. En suma, la imposibilidad de contraer matrimonio en los casos de uniones de hecho entre personas del mismo sexo no deriva de ninguna norma contraria a los actuales valores constitucionales, habiéndose mantenido tal imposibilidad no sólo durante el régimen político anterior, sino también en la época democrática en la que sólo a partir de la Ley 13/2005, de 1 de julio, por la que se modifica el Código civil en materia de derecho a contraer matrimonio, se ha reconocido en el ámbito de la legalidad ordinaria dicha posibilidad. El demandante identifica interesadamente la falta de capacidad para contraer matrimonio —prosigue el Ministerio público— con la imposibilidad de contraerlo aun disponiendo de dicha capacidad conforme a patrones constitucionales. Pero, de llevarse este argumento a sus últimas consecuencias, resultaría que cualquier circunstancia determinante de la falta de capacidad para concluir el negocio jurídico en que el matrimonio consiste (edad, parentesco, ligamen, crimen, discapacidad psíquica…), al erigirse en circunstancia que “imposibilita” su celebración, constituiría —si fuere acompañada de convivencia personal— otra situación “impeditiva”, y por ende justificaría el reconocimiento de tales convivencias como sustrato legítimo de la pretensión de una pensión de viudedad. De este modo, se daría la paradoja de que una prestación de seguridad social, prevista precisamente en favor del matrimonio, vería transmutada su naturaleza, convirtiéndose en una prestación para aquellos convivientes que por la razón que fuere no pudieren contraerlo.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8 de noviembre de 2006, la Sección Primera de este Tribunal admitió a trámite el recurso de amparo y, en aplicación del art. 51 LOTC, acordó requerir el testimonio de las actuaciones al Tribunal Superior de Justicia de Asturias y Juzgado de lo Social núm. 3 de Gijón, interesándose al propio tiempo el emplazamiento de quienes fueron parte en el procedimiento, con excepción del recurrente en amparo, para que en el plazo de diez días pudieran comparecer en este proceso constitucional, con traslado a dichos efectos de copia de la demanda presentada.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4 de diciembre de 2006 tuvo entrada en este Tribunal escrito del Letrado de la Administración de la Seguridad Social en el que solicitaba se le tuviera por personado en el procedimiento de amparo en nombre del INSS. La posterior diligencia de ordenación, de 19 de diciembre de 2006, tuvo por recibidos los testimonios de las actuaciones, acordó en el sentido solicitado por el Letrado de la Administración de la Seguridad Social y concedió un plazo de veinte días a las partes personadas y al Ministerio Fiscal para que presentaran las alegaciones que estimaran pertinentes (art. 52.1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24 de enero de 2007 evacuó el trámite el INSS. Considera que no procede otorgar el amparo por las siguientes razones: a) Debe valorarse la norma aplicable en la fecha del hecho causante. Las sucesivas alteraciones de los preceptos rectores de las prestaciones pasivas, de signo progresivamente favorable a los beneficiarios, ha obligado permanentemente a la fijación de determinadas fechas como límite temporal que posibilite o no este tipo de nuevas y más favorables percepciones, sin que ello vulnere el artículo 14 CE; b) Existe extensa doctrina sobre la constitucionalidad de la exigencia del vínculo del matrimonio como presupuesto para acceder a la pensión de viudedad; c) Partiendo de la anterior premisa, es decir, de la constitucionalidad de la exigencia del requisito del matrimonio como presupuesto de la pensión de viudedad, el Tribunal se ha pronunciado en el Auto de 11 de julio de 1994 sobre la cuestión planteada, esto es, sobre si el no reconocimiento del derecho a la pensión de viudedad que trae origen mediato en la imposibilidad legal de los homosexuales de contraer matrimonio —ya que el artículo 44 del Código civil sólo se refiere al matrimonio de dos personas de distinto sexo— vulnera el principio constitucional de igualdad, habiendo extendido a esos supuestos la doctrina que declara constitucional la exigencia del vínculo matrimonial como presupuesto para acceder a la 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el reconocimiento del derecho a las uniones de convivencia entre homosexuales requiere de previsión legal. Y esa determinación legal se ha establecido en la Ley 13/2005, de 1 de julio, por la que se modifica el Código civil en materia de derecho a contraer matrimonio, sin efectos retroactivos, de modo que por disposición del art. 2.3 del Código civil no puede aplicarse a la situación enjuiciada.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registró su escrito de alegaciones el día 29 de enero de 2007, interesando la desestimación del recurso de amparo. Reitera los contenidos del escrito de alegaciones del trámite de audiencia del art. 50.3 LOTC, y añade que, con independencia de lo que haya de resolver en su día ese Tribunal acerca de la constitucionalidad de la Ley 13/2005, de 1 de julio, a la fecha actual no puede sostenerse de forma categórica e indubitada que el matrimonio al que se refiere el art. 32.1 CE sea tanto el celebrado entre personas de distinto sexo como el celebrado entre personas pertenecientes al mismo sexo. Sólo en el caso de que esta última aseveración pudiere efectuarse ahora de manera inconcusa, podría decirse que el matrimonio homosexual constituye, al igual que el heterosexual, un valor constitucional digno de protección. Por otra parte indica que las resoluciones judiciales combatidas se dictan con anterioridad a la promulgación de la mencionada Ley 13/2005, de 1 de julio, de modo que al tiempo de la resolución por los órganos judiciales de la pretensión deducida ni siquiera cabía una interpretación analógica de la disposición adicional décima de la Ley 30/1981, de 7 de julio, aplicada a un entonces inexistente reconocimiento del matrimonio entre personas del mismo sexo.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representación del demandante en amparo no presentó escrito de alegaciones, según se hace constar en diligencia de 17 de abril de 2007.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providencia del Pleno de este Tribunal de 11 de marzo de 2008, y de conformidad con lo dispuesto en el art. 10 n) LOTC, se acordó, a propuesta de la Sala Primera de este Tribunal, recabar para el mismo el conocimiento del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55.2 de la Ley Orgánica del Tribunal Constitucional, tras la reforma operada por la Ley Orgánica 6/2007, de 24 de mayo, dispone que “en el supuesto de que el recurso de amparo debiera ser estimado porque a juicio de la Sala o, en su caso, de la Sección, la Ley aplicada lesione derechos fundamentales o libertades públicas, se elevará la cuestión al Pleno con suspensión del plazo para dictar Sentencia, de conformidad con lo prevenido en los artículos 35 y siguientes”. Tal previsión es aplicable con independencia de la fecha de iniciación del proceso de amparo (disposición transitoria cuarta de la Ley Orgánica 6/2007, de 24 de mayo) y cuando, como en el presente caso, haya correspondido al Pleno el conocimiento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quedado expuesto en los antecedentes de esta resolución, el demandante de amparo imputa a las resoluciones impugnadas la vulneración de sus derechos fundamentales a la igualdad y a la no discriminación (art. 14 CE). Ambas resoluciones confirman la previa decisión de la Administración de la Seguridad Social aplicando el art. 174.1 de la Ley general de la Seguridad Social, aprobada por Real Decreto Legislativo 1/1994, de 20 de junio (LGSS), precepto que sólo reconoce la pensión de viudedad al cónyuge supérstite. Aduce el demandante de amparo, por una parte, que el reconocimiento expreso de la institución matrimonial y del derecho a contraer matrimonio en el art. 32 CE, implica una protección constitucional de esa institución, pero que esa habilitación constitucional no puede entenderse como la posibilidad ilimitada de establecer tratamientos favorables para un conjunto de ciudadanos, por el hecho de estar o haber estado casados, frente a los que no ostentan esa condición, resultando que las prestaciones de la Seguridad Social no se configuran como elementos naturalmente integradores del régimen del matrimonio o como técnicas de protección de la institución matrimonial, por lo que no es razonable introducir ese requisito para determinar si procede o no una determinada prestación. En segundo lugar, afirma que la denegación de la pensión de viudedad a la persona supérstite de una pareja homosexual, que convivió ininterrumpidamente más de cuarenta años con el fallecido como si de un matrimonio se tratase, supone una vulneración del art. 14 CE, al llevar consigo una desigualdad de trato respecto de las parejas heterosexuales, y por tanto una discriminación por exclusiva razón de sexo o por cualquier otra condición o circunstancia personal o social, toda vez que al no existir en aquel momento posibilidad legal de contraer matrimonio entre personas del mismo sexo las parejas estables homosexuales nunca podían encontrarse en la situación legal del art. 174.1 LGSS, en la medida en que dicho precepto sólo reconoce la pensión de viudedad al cónyuge supérstite.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última perspectiva de la cuestión sitúa la lesión denunciada en la misma norma legal, de ahí que resulte procedente el planteamiento de cuestión de inconstitucionalidad sobre el art. 174.1 de la Ley general de la Seguridad Social, aprobada por Real Decreto Legislativo 1/1994, de 20 de junio, en la redacción vigente en el momento de plantearse la solicitud, esto es, la dada al citado precepto legal por el art. 32.1 de la Ley 50/1998, de 30 de diciembre, de medidas fiscales, administrativas y del orden social, por cuanto, al no existir en aquel momento posibilidad legal de contraer matrimonio entre personas del mismo sexo, las parejas estables homosexuales nunca podían encontrarse en la situación legal prevista por el art. 174.1 LGSS, lo cual podría suponer una discriminación en razón de la orientación sexual del solicitante vedada por el art. 14 CE in fine, aunque el enjuiciamiento final sobre este asunto corresponde realizarlo libremente al Pleno de este Tribunal en su posterior sentencia.</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Plantear cuestión interna de inconstitucionalidad respecto del art. 174.1 de la Ley general de la Seguridad Social, aprobada por Real Decreto Legislativo 1/1994, de 20 de junio, en la redacción dada por el art. 32.1 de la Ley 50/1998, de 30 de diciembre, de medidas fiscales, administrativas y del orden social, por oposición al art. 14.2 CE, con suspensión del plazo para dictar Sentencia en el presente recurso de amparo. </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enero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Andrés Ollero Tassara respecto al Auto de fecha 15 de enero de 2013 dictado en el recurso de amparo núm. 6704-2004 avocado al Pleno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ejercicio de la facultad que nos confiere el art. 90.2 de la Ley Orgánica del Tribunal Constitucional y con el máximo respeto a la opinión de la mayoría, dejo constancia de mi opinión discrepante puesta ya de manifiesto durante la deliberación del Auto.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El artículo 35.1 de la Ley Orgánica 2/1979 reguladora de la actividad de este Tribunal señala que cuando un Juez o Tribunal “considere que una norma con rango de Ley aplicable al caso y de cuya aplicación dependa el fallo pueda ser contraria a la Constitución, planteará la cuestión al Tribunal”. Éste suele mostrarse exigente a la hora de constatar el juicio de relevancia realizado por el Juez a quo, lo que le lleva en más de una ocasión a rechazar, de acuerdo con el artículo 37.1, la cuestión planteada por considerarla notoriamente infundada”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otra parte, el artículo 55.2 de la misma Ley Orgánica establece que “En el supuesto de que el recurso de amparo debiera ser estimado porque, a juicio de la Sala o, en su caso, la Sección, la ley aplicada lesione derechos fundamentales o libertades públicas, se elevará la cuestión al Pleno”, como ha ocurrido en el caso que nos ocupa.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Mi discrepancia deriva de no encontrar motivo de duda sobre la constitucionalidad del art. 174.1 del texto refundido de la Ley general de la Seguridad Social, aprobada por Real Decreto Legislativo 1/1994, de 20 de junio, en la redacción dada por el art. 32Uno de la Ley 50/1998, de 30 de diciembre, de medidas fiscales, administrativas y del orden social, interpretado de acuerdo con la doctrina establecida de modo reiterado e incluso muy reciente sobre el particular.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La STC 184/1990, de 28 de febrero, FJ 2, establece en efecto que “el libre desarrollo de la personalidad no resulta impedido ni coartado porque al supérstite de una unión de hecho la Ley no le reconozca una pensión de viudedad”, reconociendo la constitucionalidad de “aquellas medidas de los poderes públicos que otorguen un trato distinto y más favorable a la unidad familiar basada en el matrimonio que a otras unidades convivenciales, ni aquellas otras medidas que faciliten o favorezcan el ejercicio del derecho constitucional a contraer matrimonio”. Recordaba a la vez cómo esta doctrina se halla ya presente en el ATC 156/1987, que afirmaba que “el matrimonio y la convivencia extramatrimonial no son situaciones equivalentes, siendo posible, por ello, que el legislador, dentro de su amplísima libertad de decisión, deduzca razonablemente consecuencias de la diferente situación de partida”, apostillando: “y ello también respecto de las pensiones de viudedad”.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Años después, en la STC 66/1994, de 28 de febrero, FJ 3, el Tribunal considera de nuevo “admitida la constitucionalidad del vínculo matrimonial como presupuesto legítimo para que el legislador haga derivar de aquél determinados efectos —como el de conceder las pensiones de viudedad”. No menos elocuente al respecto se muestra el ATC 222/1994, de 11 de julio, FJ 2, al señalar que “la unión entre personas del mismo sexo biológico no es una institución jurídicamente regulada, ni existe un derecho constitucional a su establecimiento; todo lo contrario al matrimonio entre un hombre y una mujer, que es un derecho constitucional que genera ope legis una pluralidad de derechos y deberes”.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Más recientemente aún, precisamente cuando este Tribunal decide con no escasas discrepancias admitir la posibilidad de un matrimonio homosexual, en la STC 198/2012, de 6 de noviembre, dejando claro que se trata de una opción “escogida por el legislador español, en uso de su libertad de configuración de la institución matrimonial”, “dentro del margen de apreciación que la Constitución le reconoce”. Recordaba cómo el ATC 204/2003, de 16 de junio, FJ 3, había resaltado la unión more uxorio no “ni es una institución jurídicamente garantizada ni hay un derecho constitucional expreso a su establecimiento”. Menos aún lo habría para contraer matrimonio. En efecto la Sentencia se refiere siempre a una “opción legislativa” sin reconocer en modo alguno un derecho constitucional a contraer matrimonio con persona del mismo sexo que derivara de exigencias del artículo 14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cabe pues tampoco estimar existencia de discriminación alguna, difícilmente apreciable cuando no se niega derecho alguno. Las posibles consecuencias menos favorables son simple fruto de situaciones generadas por innovaciones o modificaciones normativas, como las analizadas en las SSTC 70/1983, de 26 de julio, FJ 2, o la 121/1984, de 12 de diciembre, FJ 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El legislador pudo, como ha hecho en otras ocasiones, contemplar la situación objeto de este recurso de amparo, atribuyéndole consecuencias más favorables. No lo hizo, sin que ello pueda extrañar. No en vano la memoria económica, que acompañaba al proyecto de la futura Ley 13/2005, de 1 de julio, por la que modifica el Código civil en materia de derecho a contraer matrimonio, estimaba que no generaría incremento alguno de gasto al no llevar consigo repercusión en el régimen de pensiones. Sin perjuicio de la viabilidad práctica que cupiera atribuir a tal pronóstico, la intención del legislador —que es lo que resulta en nuestro contexto relevante— queda fuera de toda duda.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4. No siendo posible estimar desigualdad de trato falta de fundamento objetivo y racional —ni en consecuencia discriminación, se la aprecie de modo directo o indirecto— no creo que pueda considerarse notoriamente fundado dudar de la constitucionalidad de la Ley 40/2007, de 4 de diciembre, salvo que lo que se cuestione sea la aludida doctrina expresada de modo reiterado por este Tribunal a lo largo de los años, sobre la cual la mayoría de los miembros del Tribunal que —con no pocos votos discrepantes— ha propiciado esta cuestión interna de constitucionalidad no ha expresado duda alguna.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Y en este sentido emito mi Voto particular.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