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5371-2011, planteada por la Sección Segunda de la Sala de lo Contencioso-Administrativo del Tribunal Superior de Justicia de Madrid respecto del apartado 7 del art. 16.2 b) de la Ley 20/1998, de 27 de noviembre, de ordenación y coordinación de los transportes urbanos de la Comunidad de Madrid. Han intervenido el Abogado del Estado, el Letrado de la Comunidad de Madrid y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octubre de 2010 tuvo entrada en el Registro General del este Tribunal un escrito de la Sección Segunda de Sala de lo Contencioso-Administrativo del Tribunal Superior de Justicia de Madrid, al que se acompaña, junto con el Auto de la referida Sección de 15 de julio de 2011 por el que se acuerda elevar a este Tribunal cuestión de inconstitucionalidad en relación con el apartado 7 del art. 16.2 b) de la Ley 20/1998, de 27 de noviembre, de ordenación y coordinación de los transportes urbanos de la Comunidad de Madrid, testimonio del rollo de apelación 387/2010 así como del procedimiento abreviado 761-2009 del Juzgado de lo Contencioso-Administrativo núm. 28 de Madrid y del expediente gubernativo.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del delegado de área de gobierno de seguridad y movilidad del Ayuntamiento de Madrid de 28 de marzo de 2008 se impuso una sanción de 2.000 euros a una taxista por infracción del art. 16 de la Ley 20/1998 de ordenación y coordinación de los transportes urbanos de la Comunidad de Madrid en relación con los arts. 60 b) 7 y 39 2 del Decreto 74/2005, de 28 de julio, por el que se aprueba el reglamento de los servicios de transporte público urbano en automóviles de turismo, por incumplimiento de las condiciones de prestación del servicio relativas al régimen de paradas, al haber esperado y recogido viajeros fuera de la parada oficial. Este acto administrativo fue recurrido en reposición; recurso que fue desestimado por resolución del delegado de área de Gobierno de seguridad y movilidad del Ayuntamiento de Madrid 6 de junio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estas resoluciones se interpuso recurso contencioso-administrativo. El Juzgado de lo Contencioso-Administrativo núm. 28 de Madrid, por Sentencia de 23 de diciembre de 2009, desestimó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fue recurrida en apelación. La Sección Segunda el Tribunal Superior de Justicia de Madrid, por providencia de 28 de abril de 2011, otorgó un plazo de diez días a las partes y al Ministerio Fiscal para que pudieran efectuar alegaciones sobre la pertinencia de plantear cuestión de inconstitucionalidad en relación con el apartado 7 del artículo 16.2 b) de la Ley 20/1998 —aunque por error cita la Ley 16/1987—, al considerar que este precepto legal podría vulnerar el art. 25.1 CE. El Letrado del Ayuntamiento de Madrid formuló alegaciones aduciendo que, en su opinión, no procedía plantear la cuestión de inconstitucionalidad. Por el contrario, la parte recurrente y el Ministerio Fiscal estimaron pertinente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15 de julio de 2011 la Sección Segunda de la Sala de lo Contencioso-Administrativo del Tribunal Superior de Justicia de la Comunidad de Madrid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fundamenta el planteamiento de la cuestión en que 16.2 b) de la Ley 20/1998, al disponer que tendrá la consideración de infracción grave el incumplimiento de las condiciones esenciales de la licencia salvo que deba considerarse como infracción muy grave, y establecer en su apartado séptimo que entre esas condiciones esenciales se incluirán, además de las expresamente previstas en el referido precepto, “cualesquiera otras que puedan establecerse reglamentariamente” podría vulnerar el art. 25.1 CE, “en cuanto que habilita o se remite genéricamente a un reglamento para la configuración ex novo de obligaciones o prohibiciones cuya contravención da origen a una infracción sancionable” e invoca la doctrina contenida en las SSTC 341/1993, de 18 de noviembre, y 26/2005,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este Tribunal de 7 de noviembre de 2011 se acordó admitir a trámite la cuestión de inconstitucionalidad. En esta misma resolución, de conformidad con lo dispuesto en el art. 10 1 c) de la Ley Orgánica del Tribunal Constitucional (LOTC), se acordó también deferir a la Sala Primera, que por turno objetivo le ha correspondido, el conocimiento de la presente cuestión y, de acuerdo con lo establecido en el art. 37.3 LOTC, se dio traslado de las actuaciones recibidas al Congreso de los Diputados y al Senado, por conducto de sus Presidentes, al Gobierno, por conducto del Ministro de Justicia, y al Fiscal General del Estado, así como al Gobierno de la Comunidad de Madrid y a la Asamblea de la Comunidad de Madrid por conducto de sus Presidentes, al objeto de que, en el improrrogable plazo de quince días pudieran personarse en el proceso y formular las alegaciones que estimaran convenientes. De igual modo, se comunicó la referida resolución a la Sección Segunda de la Sala de lo Contencioso-Administrativo del Tribunal Superior de Justicia de Madrid a fin de que, de conformidad con lo dispuesto en el art. 35 3 LOTC, permanezca suspendido el proceso hasta que este Tribunal resuelva definitivamente la presente cuestión y se acordó publicar la incoación de la cuestión en el “Boletín Oficial del Estado”, lo que tuvo lugar el 19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noviembre de 2011 el Presidente del Senado, en ejercicio de la delegación conferida por la Mesa de la Diputación Permanente en su reunión de 28 de septiembre de 2011, acordó personarse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noviembre de 2011 el Presidente del Congreso comunicó a este Tribunal el acuerdo de la Mesa de la Diputación Permanente por el que acordó personarse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de 1 de diciembre de 2011, se personó en este procedimiento en nombre del Gobierno, formuló alegaciones y solicitó la desestimación de la presente cuestión de inconstitucionalidad. A su juicio, esta cuestión debe resolverse aplicando la doctrina contenida en la STC 104/2009, de 4 de mayo, en la que se establece que, desde el punto de vista de la garantía formal, el art 25.1 CE “no excluye que la norma de rango legal contenga remisiones a normas reglamentarias, siempre que en aquélla queden suficientemente determinados los elementos esenciales de la conducta antijurídica” (FJ 5). El Abogado del Estado considera que el art. 16.2 b) de la Ley 20/1998 contiene todos los elementos esenciales definitorios de la infracción. Entiende, en primer lugar, que el referido precepto delimita el ámbito del tipo de infracción: el incumplimiento de las condiciones más importantes de la autorización o licencia otorgada para una actividad de transporte urbano desarrollada en la Comunidad de Madrid; que del mismo se deducen los sujetos activos de la infracción, que son los titulares de la autorización o licencia a los que le sea imputable el incumplimiento; también define el bien jurídico protegido: el recto desempeño del servicio objeto de la licencia o de autorización y especialmente su prestación de conformidad con las normas reglamentarias que regulan sus condiciones y define la conducta infractora, que es el incumplimiento de las condiciones esenciales de la licencia; condiciones que son las que enumera la propia ley o las que establezca el reglamento que regule el servicio. Según sostiene el Abogado del Estado, no es razonable entender que pueda remitirse al reglamento la regulación de importantes condiciones de prestación del servicio de transporte de viajeros en automóvil de turismo y que el incumplimiento de tales condiciones no sea sancionable. Aduce también el representante del Gobierno que, en cuanto la predeterminación de las conductas sancionables (garantía material), cabe sostener que los titulares de las licencias de auto-taxi saben perfectamente que no quebrantar la prohibición de recoger viajeros fuera de los puntos de parada en estaciones y aeropuertos es una condición esencial de la licencia, pues, afirma, dada la gran afluencia de viajeros, la prohibición tiene como finalidad racionalizar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considera que la colaboración del reglamento para deslindar condiciones esenciales y no esenciales de las licencias o autorizaciones de auto-taxi reguladas por la Ley de la Comunidad de Madrid 20/1998, según la doctrina establecida en la STC 104/2009, de 4 de mayo, no puede estimarse que vulnere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del Tribunal Constitucional el 2 de diciembre de 2011, el Letrado de la Comunidad de Madrid se personó en este procedimiento y formuló alegaciones solicitando que se dicte Sentencia declarando la conformidad del precepto cuestionado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Comunidad de Madrid pone de manifiesto, en primer lugar, que la doctrina establecida en la STC 26/2005, de 14 de febrero, invocada en el Auto de planteamiento no resulta aplicable, pues en el caso que ahora se examina, cuando se cometió la infracción, existía una norma de rango legal, la Ley de la Comunidad de Madrid 20/1998, que regulaba la relación de sujeción especial existente entre la Administración y quienes prestan servicios de transporte urbano de viajeros. También señala que, de acuerdo con la doctrina constitucional, las llamadas relaciones especiales de sujeción pueden suponer una legítima modulación del derecho a la legalidad sancionadora reconocido en el art. 25.1 CE, invocando en su apoyo la STC 132/2001, de 8 de junio. Por ello entiende que en este caso, al tratarse de un supuesto en el que existe esa relación de especial sujeción, es suficiente con que la norma de rango de ley contenga una mera habilitación para la tipificación de infracciones y sanciones por vía reglamentaria, como prevé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diciembre de 2011 el Fiscal General del Estado presentó su escrito de alegaciones en el Registro General del Tribunal Constitucional. Tras exponer los antecedentes de los que trae causa la presente cuestión, comprobar que la misma reúne los requisitos de admisibilidad y exponer la doctrina constitucional sobre el principio de legalidad, entra a analizar si la norma cuestionada contiene los elementos necesarios de la conducta antijurídica, como exige, en su vertiente formal, 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Fiscal General del Estado, la norma legal cuestionada, al remitirse a normas reglamentarias para determinar cuáles son aquellas otras condiciones esenciales de las licencias cuyo incumplimiento da lugar a la comisión de una infracción grave contiene una remisión en blanco a la potestad reglamentaria. A su juicio, este precepto legal no prevé elemento alguno que defina cuándo unos hechos o circunstancias son condiciones esenciales de la licencia o autorización, sino que contiene una remisión genérica al reglamento que permite a esta norma tipificar autónomamente nuevas conductas merecedoras de sanción. Por ello considera que la remisión al reglamento que efectúa este precepto excede de la colaboración reglamentaria permitida por el art. 25.1 CE. Señala, además, que el precepto legal cuestionado resulta también inadmisible desde la perspectiva de la legalidad material al incumplir las exigencias de la predeterminación normativa derivadas también del principio de legalidad sancionadora. A su juicio, la mera exigencia legal de que el incumplimiento se refiera a las condiciones esenciales de la licencia sin haber definido previamente en qué consisten estas condiciones —más allá de las que el propio precepto cita ad exemplum— dificulta el conocimiento de lo prohibido, lo que determina, afirma, que la norma de remisión no salvaguarde suficientemente el valor de seguridad jurídica al que sirve, entre otros,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último, el Fiscal General del Estado que aunque llegase a considerarse que la norma cuestionada regula relaciones especiales de sujeción —que no es el caso, a su juicio—, tampoco podría entenderse que tal norma se ajusta al principio de legalidad. En ese tipo de relaciones las exigencias del principio de legalidad pueden sufrir modulaciones, pero no suprimirse, que es, a su juicio, lo que ocurre en el presente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al Fiscal a solicitar que se estime la presente cuestión de inconstitucionalidad y, en consecuencia, que se anule el apartado 7 del art. 16.2 b) de la Ley de la Comunidad de Madrid 20/1998,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diciembre de 2011 se registró en el Tribunal Constitucional el escrito de la Mesa de la Asamblea de Madrid por el que se acordó, de conformidad con lo dispuesto en el art. 222 del Reglamento de la Asamblea de Madrid, no proponer a la Junta de Portavoces su elevación al Pleno de la Cámara, en orden a personarse y formular alegaciones ante el Tribunal Constitucional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enero de 2013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planteada por la Sección Segunda de la Sala de lo Contencioso-Administrativo del Tribunal Superior de Justicia de Madrid, por Auto de 15 de julio de 2011, tiene por objeto determinar si el apartado 7 del art. 16.2 b) de la Ley 20/1998, de 27 de noviembre, de ordenación y coordinación de los transportes urbanos de la Comunidad de Madrid vulnera el art. 25.1 CE. Como se ha indicado en los antecedentes, este precepto legal tipifica como infracción grave “el incumplimiento de las condiciones esenciales de la autorización o licencia, salvo que deba considerarse infracción muy grave”. Según dispone expresamente esta norma, entre esas condiciones esenciales se incluyen, en todo caso, las que el propio precepto establece en sus seis primeros apartados, y en el número séptimo, que es el ahora cuestionado, se establece, además, “cualesquiera otras que puedan establecerse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Letrado de la Comunidad de Madrid consideran que, en este caso, la remisión al reglamento que efectúa el precepto legal cuestionado no vulnera el art. 25.1 CE, pues entienden que respeta las exigencias que se derivan del referido precepto constitucional. Por el contrario, el Fiscal General del Estado entiende que está remitiendo al reglamento la tipificación, de manera autónoma e independiente de la ley, de infracciones administrativas, lo que determina, a su juicio, la vulneración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reiterada de este Tribunal (entre otras muchas, SSTC 104/2009, de 4 de mayo, FJ 2; 135/2010, de 2 de diciembre, FJ 4; 144/2011, de 26 de septiembre, FJ 4; y 90/2012, de 7 de mayo, FJ 4) el art. 25.1 CE, que incorpora la regla nullum crimen nulla poena sine lege, comprende una doble garantía, formal y material. La garantía material, como señaló la STC 242/2005, de 10 de octubre, FJ 2, deriva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(en el mismo sentido, entre otras muchas, SSTC 104/2009, de 4 de mayo, FJ 2; 144/2011, de 26 de septiembre de 2011, FJ 4; y 90/2012, de 7 de mayo, FJ 4). Por esta razón, como también señala la citada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formal, como señala la STC 166/2012, de 1 octubre, FJ 5, hace referencia al rango necesario de las normas tipificadoras de esas conductas y sanciones y sostiene, siguiendo la constante jurisprudencia de este Tribunal, que el término “legislación vigente” contenido en el art. 25.1 CE es expresivo de una reserva de ley en materia sancionadora (por todas STC 77/2006, de 13 de marzo, FJ único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ha señalado también (entre otras muchas, STC 26/2005, de 14 de febrero, FJ 3) que en relación con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(STC 42/1987, de 7 de abril, FJ 2)” . Por esta razón es doctrina constitucional reiterada, por todas, STC 242/2005, de 10 de octubre, FJ 2, que la garantía formal, a diferencia de la garantía material, cuyo alcance es absoluto,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De ahí que en la citada STC 242/2005, de 10 de octubre, FJ 2, se sostenga que “la garantía formal implica que la ley debe contener la determinación de los elementos esenciales de la conducta antijurídica y al reglamento sólo puede corresponder, en su caso, el desarrollo y precisión de los tipos de infracciones previamente establecidos por la ley (por todas, SSTC 161/2003, de 15 de septiembre, FJ 2, o 26/2005, de 14 de febrero, FJ 3).” En definitiva, como ha señalado la STC 104/2009, de 4 de mayo, FJ 2, lo que el art. 25.1 prohíbe “es la remisión de la ley al reglamento sin una previa determinación de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16.2 b) de la Ley 20/1998, de ordenación y coordinación de los transportes urbanos de la Comunidad de Madrid, como se ha indicado, tipifica como infracción grave el incumplimiento de las condiciones esenciales de la autorización o licencia, salvo que deba considerarse infracción muy grave, y establece expresamente que entre esas condiciones esenciales deberán incluirse las que el propio precepto legal enumera y “cualesquiera otras que puedan establecerse reglamentariamente”, siendo esta última previsión la que es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que se acaba de exponer, para apreciar si la remisión al reglamento que efectúa el apartado séptimo del art. 16.2 b) de la Ley 20/1998 de la Comunidad de Madrid es acorde con el art. 25.1 CE debemos comprobar si el precepto legal que efectúa esta remisión define los elementos esenciales de la conducta antijurídica o si, por el contrario, está remitiendo a la potestad reglamentaria una tipificación autónoma de infracciones, lo que determinaría la inconstitucionalidad del precepto por no respetar la garantía formal que se deriva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hecho en otros supuestos en los que la ley defería al reglamento la concreción de algunos de los elementos de la conducta típica. Por ejemplo, en la STC 3/1988, de 21 de enero, consideramos que el art. 9 del Real Decreto-ley 3/1979 de 26 de enero, sobre seguridad ciudadana, que disponía que podía ser sancionado “el incumplimiento de las normas de seguridad impuestas reglamentariamente a las Empresas para prevenir la comisión de actos delictivos” no vulneraba el art. 25.1 CE, pues consideramos que dicho precepto cuestionado fijaba suficientemente los elementos esenciales del ilícito administrativo, al concretar “el desvalor de las conductas consideradas ilícitas en la referencia al incumplimiento por las Empresas de normas de seguridad teleológicamente encaminadas a la prevención de hechos delictivos, normas de seguridad que vendrán luego determinadas en sus circunstancias particulares por reglamentos que responderán, en cada caso, a valoraciones de carácter técnico y contingente, efectuadas por la Administración” (FJ 10). Por las mismas razones, la STC 246/1991, de 19 de diciembre, FJ 3, desestimó un recurso de amparo en el que se aducía, entre otros motivos, que la sanción impuesta en virtud de lo establecido en también en el art 9 del Real Decreto-ley 3/1979 legal vulneraba su derecho fundamental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planteaba una cuestión similar en la STC 25/2002, de 11 de febrero. Esta Sentencia resolvió un recurso de amparo en el que se aducía, entre otras cosas, que la norma que servía de cobertura a la sanción impuesta, el art. 91 de la Ley 25/1964, no satisfacía las exigencias del principio de legalidad formal que garantiza el art. 25.1 CE. El Tribunal desestimó esta queja por entender que, al margen de que fuera una norma preconstitucional, el referido precepto, que establecía que “la infracción de preceptos legales y reglamentarios” sobre determinadas materias, entre otras, sobre “registro y comunicación de datos” y “condiciones de seguridad técnica o sanitaria del personal”, tipificaba los elementos esenciales de la conducta por la que fue sancionada la entidad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la misma conclusión llegamos en la STC 104/2009, de 4 mayo. En esta Sentencia entendimos que el art. 91 b) 1 de la Ley 25/1964, de 29 de abril, de energía nuclear, en la redacción dada por la disposición adicional quinta de la Ley 54/1997, de 27 de noviembre del sector eléctrico, en el que se establece que constituye infracción grave “el incumplimiento de los preceptos legales o reglamentarios aplicables o de los términos y condiciones de las autorizaciones o documentos oficiales de explotación, cuando no constituya falta muy grave, salvo los de escasa trascendencia” es acorde con las garantías formales y materiales que se derivan del art. 25.1 CE. En este caso sostuvimos que “la infracción grave tipificada en el art. 91 b). 1 de la Ley de energía nuclear delimita los elementos esenciales de las conductas antijurídicas sancionadas, pues no sólo contiene la acotación del ámbito al que se refieren las normas reglamentarias y las autorizaciones o documentos oficiales de explotación a que se refiere la remisión, que es la actividad desarrollada en las instalaciones nucleares y radioactivas, así como la identificación de los sujetos que pueden cometer la infracción, esto es, las empresas que realicen dicha actividad (art. 91, inciso primero, de la Ley de energía nuclear), sino que, además, mediante la integración del precepto cuestionado con el art. 91 a) de la propia Ley al que indirectamente se remite (‘cuando no constituya falta muy grave’), se enuncia el bien jurídico protegido, y se describe suficientemente en qué consiste la conducta infractora, por lo que la remisión a las normas reglamentarias y a los términos y condiciones de las autorizaciones o los documentos oficiales de explotación, satisface plenamente la garantía formal del art. 25.1 CE, al tratarse de una regulación complementaria y claramente subordinada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hemos considerado que la remisión de la ley al reglamento no satisfacía las exigencias del art. 25.1 CE cuando esta remisión se efectuaba sin una “definición básica de la conducta prohibida en la propia ley” (SSTC 60/2000, de 2 de marzo, FJ 4 y 26/2005, de 14 de febrero, FJ 4). Por esta razón, la última Sentencia citada consideró que el art. 8 de la Ley 38/1985, de 22 de noviembre, del monopolio fiscal de tabacos que, en su apartado 3, disponía que "mediante normas reglamentarias" se establecería “el régimen sancionador” y en su apartado 4 establecía que la Delegación del Gobierno podría sancionar a los expendedores cuando incurrieran las infracciones que se determinaran en el reglamento que desarrollaba la ley era contrario al principio de legalidad sancionadora en su vertiente formal. De igual modo en la STC 81/2009, de 23 de marzo, anulamos el art. 69.3 c) de la Ley 10/1990, de 15 de octubre, del deporte, en el que se establecía que eran infracciones leves “todas las acciones u omisiones no tipificadas como infracciones graves o muy graves en el presente Título y que sean contrarias a las normas y reglamentos aplicables a los espectáculos deportivos”, al apreciar que no contenía los elementos esenciales de la conducta antijurídica, por lo que permitía una regulación reglamentaria independiente, lo que era contrario a las exigencias de legalidad formal que se derivan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16.2 de la Ley 20/1998, de ordenación y coordinación de los transportes urbanos de la Comunidad de Madrid establece que constituye infracción administrativa grave el incumplimiento de las “condiciones esenciales de la autorización o licencia”, cuando no tenga la consideración de infracción muy grave. Se refiere a continuación a seis condiciones esenciales, acotando el ámbito material que a cada una le corresponde, sin perjuicio del correspondiente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iniciación de los servicios interurbanos en vehículos de turismo dentro del municipio otorgante de la correspondiente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disposición del número mínimo de conductores que, en su caso, reglamentariamente se exijan.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plena dedicación del titular de la preceptiva licencia o autorización habilitante al ejercicio de la actividad, cuando así se exija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contratación global de la capacidad del vehículo cuando así se exija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cumplimiento de las condiciones técnicas y de seguridad exigidas al vehículo, así como la instalación y adecuado funcionamiento de los instrumentos que obligatoriamente hayan de instalarse en el mismo para el control de las condiciones de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cumplimiento del régimen tarifario, en el sector del auto-taxi…”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incluye un apartado 7 conforme al que serán también condiciones esenciales “cualesquiera otras que puedan establecerse reglamentariamente”. Esta previsión, que es el objeto de la presente cuestión de constitucionalidad, supone la atribución de un amplísimo margen al reglamento para la fijación de las conductas sancionables. Impone un solo límite: las infracciones administrativas pueden referirse a cualesquiera condiciones de la autorización o licencia siempre que puedan considerarse esenciales; sin acotación material alguna ni referencia a bienes jurídicos cuya protección pudiera justificar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concepto jurídico indeterminado “condiciones esenciales de la autorización o licencia” es un parámetro legal que en alguna medida orienta al reglamento. No obstante, en ausencia de más determinaciones legales, constituye una laxa e insuficiente guía normativa desde la perspectiva del principio de legalidad sancionadora. Con ello está permitiendo que la Administración lleve a cabo una tipificación ex novo de conductas ilícitas vulnerando de este modo la garantía formal del principio de legalidad sancionadora. Debe pues afirmarse que los elementos esenciales de la conducta antijurídica no están identificados en la Ley y por ello la entera definición de esos “elementos esenciales” es la que se encomienda al poder reglamentario en contra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señalarse que, como sostuvimos en la STC 132/2001, de 8 de junio, en un supuesto en el que se recurría en amparo una sanción impuesta a un taxista, la relación administrativa que une al Ayuntamiento de Madrid con el sancionado no determina modulación alguna del derecho a la legalidad sancionadora. Ello porque “ningún precepto constitucional prevé, ni explícita ni implícitamente, la limitación de derechos constitucionales en un ámbito de actividad económica privada, aunque esté intervenida y reglamentada, como es la prestación de servicios de transporte en auto-taxi”. Por esta razón, “con independencia de cómo se denomine la relación que une al titular de la licencia de auto-taxi con su Ayuntamiento, no hay fundamento alguno para que la sanción impuesta al recurrente carezca de la cobertura legal que, con carácter general, exige el art. 25.1 CE”, conclusión que reafirmamos en este caso.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apartado 7 del art. 16.2 b) de la Ley 20/1998, de 27 de noviembre, de ordenación y coordinación de los transportes urbanos de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