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9881-2006 planteado por la Junta de Castilla y León en relación con el Real Decreto 918/2006, de 28 de julio, por el que se regula la concesión directa de subvenciones a ayuntamientos para proyectos de acción social a favor de las personas mayores en situación de dependencia. Ha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octubre de 2006 tuvo entrada en el Registro General de este Tribunal Constitucional, escrito del director de los servicios jurídicos de la Junta de Castilla y León por el que, en la representación que ostenta, interpone conflicto positivo de competencia, tramitado con el número 9881-2006, en relación con el Real Decreto 918/2006, de 28 de julio, por el que se regula la concesión directa de subvenciones a ayuntamientos para proyectos de acción social a favor de las personas mayores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el representante procesal de la Comunidad Autónoma señala que el conflicto se dirige contra la totalidad del Real Decreto, si bien se circunscribe geográficamente a las ayudas dirigidas a ayuntamientos ubicados en el territorio de la Comunidad de Castilla y León, en concreto, El Sahugo, La Robla, Quilós y Trespaderne.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sustenta en la vulneración de la competencia exclusiva atribuida a la Comunidad Autónoma en materia de asistencia social, servicios sociales y desarrollo comunitario, en los términos previstos en el art. 32.1.19 de su Estatuto de Autonomía, con el alcance que contempla el apartado 2 del mencionado precepto estatutario. A juicio del Letrado, dicha competencia determina que corresponda a la Comunidad Autónoma la gestión de las subvenciones previstas en la norma impugnada y, en consecuencia, que las partidas que se contemplan en el texto de la misma deban territorializarse en los propios Presupuestos Generales del Estado o en un momento inmediatamente posterior, respetando los principios constitucionales y el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el real decreto objeto del conflicto no especifica el título competencial que ampara la regulación estatal, sin que pueda admitirse el esgrimido por el Gobierno de la Nación en el trámite de requerimiento, conforme al cual las subvenciones previstas quedarían cubiertas por la soberanía financiera del Estado, y amparadas competencialmente por lo dispuesto en los arts. 9.2 y 50 CE, así como por lo establecido en el art. 149.1.1 CE. A juicio del representante autonómico, el poder de gasto del Estado destinado a fomentar el equilibrio social no permite a éste concretar la forma en que dichos fondos han de utilizarse y los arts. 9.2 y 50 CE no constituyen títulos válidos de delimitación de competencias, y se han excedido las competencias habilitadoras que derivarían de lo dispuesto en el art. 149.1.1 CE, porque el texto adolece de una explicación de las razones de urgencia que lo motivan y ha obviado la aplicación de las técnicas de cooperación con la Comunidad Autónoma, exigidas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niega la competencia del Estado para otorgar subvenciones directas a los ayuntamientos, sino la forma en que se ha ejercido dicha competencia en el Real Decreto, excluyendo la participación de la Comunidad Autónoma en el otorgamiento, distribución y gestión de las subvenciones, e ignorando la fórmula que se ha venido utilizando en la práctica para este tipo de ayudas de carácter social y asistencial, que es la del convenio de colaboración, con expresa cita en el texto de la demanda de los convenios e instrumentos de colaboración que hasta la fecha se han concluido entre el Estado y las Comunidades Autónomas para este tipo de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traer a colación la normativa de la Comunidad Autónoma sobre esta materia, se efectúa un examen de la doctrina constitucional en relación con las ayudas o subvenciones reguladas por el Estado, con especial referencia a la contenida en la STC 13/1992, de 6 de febrero, FJ 8, para considerar que en el presente caso nos encontramos en el primero de los supuestos contemplados en la Sentencia, al tratarse de una materia o sector sobre el que recae la competencia exclusiva de la Comunidad Autónoma, por lo que los fondos con cargo a los cuales el Estado pretende conceder las subvenciones directas reguladas en el Real Decreto, han de integrarse como un recurso que nutre la hacienda de la Comunidad de Castilla y León, consignándose en los presupuestos generales del Estado como transferencias corrientes o de capital a la Comunidad, de manera que la asignación de los fondos quede territorializada.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alcance del fallo, la representación autonómica solicita que se declare la titularidad de la competencia controvertida y que se anule únicamente lo que concierne al extremo relativo al abono directo de la subvención por el Ministerio de Trabajo y Seguridad Social a los ayuntamientos ubicados en el territorio de Castilla y León que aparecen recogidos en 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23 de noviembre de 2006, admitió a trámite el conflicto positivo de competencia promovido por la Junta de Castilla y León,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diciembre de 2006 tuvo entrada en este Tribunal escrito de alegaciones del Abogado del Estado en el que solicita se tenga por evacuado el trámite conferido y, en su día,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 central sobre el que gira la argumentación esgrimida por la Abogacía del Estado es que el carácter exclusivo de las competencias autonómicas en materia de asistencia social no excluye las acciones de fomento, mediante dotaciones presupuestarias, para la financiación directa por la Administración del Estado en aquellos ámbitos materiales que resulten de obligada prestación por las corporaciones locales, entre los que se incluirían la prestación de servicios sociales y promoción social. Las políticas sociales implican un sobrecoste para las entidades locales que justifica la intervención estatal mediante el necesario apoyo financiero a estas políticas específicas, tal y como se justifica en el propio preámbulo del Real Decreto, y asimismo se encuadra en la posibilidad expresamente reconocida en el fundamento jurídico 13 de la STC 13/1992 de que las corporaciones locales colaboren con las Comunidades Autónomas en materias de competencia autonómica, realizando actividades propias de tales corporaciones y recibiendo para ello subvenciones del Estado. A juicio de la representación estatal el título competencial sobre régimen jurídico local (art. 149.1.18 CE) tiene un carácter específico en relación a la materia regulada, dado que la finalidad del crédito estatal es la realización de servicios municipales configurados en la legislación básica estatal como servicios de prestación obligatoria de los municipios, alegando en apoyo de esta tesis lo dispuesto en la STC 233/1999.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para el supuesto de que se considere como título aplicable el recogido en el art. 148.1.20 CE, se afirma que dicha competencia no es incompatible con la que deriva para el Estado de lo dispuesto en el art. 9.2 CE, en conexión con los arts. 40, 41 y 50 CE, que fundamenta con carácter general una acción positiva de los poderes públicos en orden a la consecución de fines sociales, entre los que ocupa un lugar preferente la protección social del conjunto de la población. Asimismo, las previsiones del art. 149.1.1 CE constituyen un mandato a los poderes públicos para que garanticen la igualdad, que guarda relevante conexión con el principio de solidaridad, configurado como un principio dinámico y progresivo, a través del cual se realiza la función promocional que es consustancial al Estado social que configura la Constitución. Lo anterior justifica que las subvenciones previstas en el Real Decreto 918/2006 encuentren amparo, no solo en los títulos competenciales que el Estado ostenta en la materia, sino también en la existencia de un deber constitucional de colaboración, en cuya virtud, los poderes centrales y autonómicos deben permitir o facilitar el adecuado cumplimiento de las responsabilidades que incumben a cada parte en el ejercicio de sus competencias, deber que no altera el reparto competencial, sino las modalidades de ejercicio (SSTC 80/1985, de 4 de julio, y 152/1988, de 20 de julio). Este deber general, en el supuesto de necesidades urgentes, como sería la atención a personas mayores dependientes, se convierte en una obligación jurídica, concretada en la aportación de fondos del Estado a la Administración que es competente para la gestión de los servicios sociales. De lo anterior se deduce que las subvenciones constituyen una manifestación del deber de colaboración del Estado con los entes locales, que viene a dar efectividad a los principios de suficiencia financiera de las haciendas locales (art. 142 CE) y de solidaridad y equilibrio territorial (art. 138 CE),principios que invisten al Estado de facultades para destinar fondos públicos que coadyuven con los de las propias Comunidades Autónomas, a la promoción del bienestar social de los españoles, y, en consecuencia, habilitan al Estado a financiar proyectos como los contemplados en el real decreto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estatal considera irrelevante que la finalidad de las subvenciones reguladas coincida con las recogidas en los convenios de colaboración suscritos entre el Ministerio de Trabajo y Asuntos Sociales y las distintas Comunidades Autónomas, pues dicha circunstancia no puede imponerse frente al carácter directo de la presente concesión de subvenciones y la cualificación por su urgencia, rechaza la vulneración del principio de lealtad constitucional por no encontrar acomodo en un procedimiento en el que la discusión entre las partes ha de ceñirse a la reivindicación de una competencia concreta (art. 63.1 LOTC) y considera que en el ámbito definido por la STC 13/1992, la regulación contemplada encaja en el cuarto y último supuesto de los allí previstos, en el que se contempla el supuesto excepcional de gestión directa de las subvenciones por un órgano de la Administración del Estado, cuando resulte imprescindible “para asegurar la plena efectividad de las medidas dentro de la ordenación básica del sector y para garantizar las mismas posibilidades de obtención y disfrute por parte de sus potenciales destinatarios en todo el territorio nacional”, siendo así que, en el supuesto examinado, la atención urgente a las necesidades de personas mayores en situación de dependencia, subvencionando a determinados ayuntamientos a finalizar las construcciones, ampliaciones, adaptaciones o equipamientos de los centros de atención a este colectivo, constituye un problema en cuyo tratamiento se han de asegurar las condiciones básicas de igualdad de dichos mayores dependientes, sin que el Estado pueda permanecer ajeno ante esta problemática social, fomentando el equilibrio social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2013 se acordó señalar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la Junta de Castilla y León contra el Real Decreto 918/2006, de 28 de julio, por el que se regula la concesión directa de subvenciones a ayuntamientos para proyectos de acción social a favor de personas mayores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tiene por objeto regular la concesión directa de subvenciones a determinados ayuntamientos, para finalizar la construcción, ampliación, adaptación o equipamiento de centros de atención a personas mayores en situación de dependencia para proceder a su puesta en funcionamiento. Entre los municipios que figuran como beneficiarios de las ayudas se incluyen los de El Sahugo, La Robla, Quilós y Trespaderne, situados en el territorio de la Comunidad Autónoma de Castilla y León. La norma impugnada contempla el procedimiento de concesión de las ayudas, las obligaciones que asumen los ayuntamientos beneficiarios, la financiación global y la cuantía individual que corresponde a cada uno de ellos, el procedimiento a seguir en supuesto de incumplimiento y el régimen jurídico aplicable a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Comunidad Autónoma de Castilla y León considera que el real decreto objeto del conflicto vulnera la competencia exclusiva que contempla el art. 32.1.19 de su Estatuto de Autonomía, en materia de asistencia social, servicios sociales y desarrollo comunitario, en virtud de la cual corresponde a la Comunidad Autónoma la gestión de las subvenciones previstas en la norma impugnada. No niega la competencia del Estado para otorgar subvenciones, sino el hecho de que se haya excluido la participación de la Comunidad Autónoma en el otorgamiento, distribución y gestión de las ayudas, ignorando lo señalado por la doctrina del Tribunal Constitucional, especialmente en la STC 13/1992, conforme a la cual las partidas presupuestarias que se contemplan deberían haber sido objeto de territorialización en los propios presupuestos generales del Estado o en un momento inmediatamente posterior, respetando 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su parte, que el carácter exclusivo de la competencia autonómica en materia de asistencia social no excluye el ejercicio por el Estado de un poder subvencional directo, que resultaría de las competencias que en materia de régimen local le atribuye el art. 149.1.18 CE, en los supuestos en que la acción de fomento vaya dirigida a la financiación de servicios municipales configurados en la legislación básica estatal como de prestación obligatoria por los municipios. Subsidiariamente, se alegan como títulos aplicables los que derivan de lo señalado en el art. 9.2 en conexión con los arts. 40, 41 y 50 CE y en el art. 149.1.1 CE, que configuran un mandato a los poderes públicos en orden a la consecución de fines sociales de alcance general, que no altera el reparto de competencias, y que, en el supuesto de necesidades urgentes, como sería las atención a los mayores dependientes, se convierte en una obligación jurídica que se concreta en la aportación de fondos estatales a la Administración competente para la gestión de los servicios sociales. A ello se añade que las subvenciones previstas, en cuanto son manifestación del deber de colaboración del Estado con las entidades locales, vienen a su vez a dar efectividad a los principios de suficiencia financiera de éstas (art. 137 CE), de solidaridad y equilibrio territorial (art. 138 CE) y encuentran amparo en lo dispuesto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de acuerdo con el suplico de la demanda (STC 195/1998, de 1 de octubre, FJ 1). La pretensión ejercida tiene por objeto que se declare “que la titularidad de la competencia controvertida corresponde a la Comunidad de Castilla y León, anulando la disposición impugnada únicamente en lo que concierne al extremo del abono directo por el Ministerio de Trabajo y Seguridad Social a los ayuntamientos de El Sahúgo, La Robla, Quilós y Trespaderne, ubicados en el territorio de la Comunidad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reivindicación competencial se limita adecuadamente a la ejercida en relación con los municipios situados en el territorio de la Comunidad Autónoma de Castilla y León, lo que resulta acorde con el principio general de “territorialidad” de las competencias autonómicas (por todas, STC 194/2011, de 13 de diciembre, FJ 5). Desde una perspectiva material, el reproche competencial se ciñe exclusivamente a la centralización de la gestión de las ayudas, esto es, al hecho de que la resolución y pago de las mismas se atribuya a un órgano estatal. No se pone en cuestión la competencia del Estado para el ejercicio de la actividad subvencional en sí misma considerada, sino los términos concretos de ejercicio de esa competencia en el supuesto que se examina, lo que está de acuerdo con nuestra jurisprudencia, según la cual, “existirá el vicio de incompetencia que constituye el objeto propio del conflicto positivo de competencia, bien si la parte actora reclama para sí la competencia ejercida por otro o bien si, en su caso, discrepa de la forma en que el titular de una competencia la ha ejercido, extralimitándose y lesionando, perturbando o desconociendo al ejercitarla el ámbito de atribuciones constitucionales de quien plantea el conflicto” (por todas STC 44/2007,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sustentándose la reivindicación competencial de la Junta de Castilla y León en la vulneración de sus competencias en materia de asistencia social, habrá de estarse a lo dispuesto en el vigente Estatuto de Autonomía, aprobado por la Ley Orgánica 14/2007, de 30 de noviembre, que constituye parámetro de control del presente conflicto, en aplicación de nuestra doctrina sobre el ius superveniens, (STC 1/2011, de 14 de febrero, FJ 2 y doctrina allí citada). El art. 70.1.10 del vigente Estatuto de Autonomía atribuye a la Comunidad Autónoma de Castilla y León competencia exclusiva en materia de “asistencia social, servicios sociales y desarrollo comunitario”, con especificación de que dicha materia incluye, entre otros aspectos, la “promoción y atención de las familias, la infancia, la juventud y los mayores” y la “prevención, atención e inserción social de los colectivos afectados por la discapacidad, la dependencia o la exclusión social”. En su apartado 3 señala que la atribución en exclusividad de estas competencias “se entenderá efectuada sin perjuicio de las competencias que pudieran corresponder al Estado en virtud de otros títulos previstos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del presente conflicto exige comenzar por el encuadramiento competencial de las ayudas cuestionadas, a fin de determinar si, a la vista de las competencias del Estado y de la Comunidad Autónoma de Castilla y León, se ha producido o no la vulneración competencial denunciada, tomando como parámetro sustantivo la doctrina constitucional, especialmente la recogida en la STC 13/1992, de 6 de febrero, en la que se recoge el principio de que “la legitimidad constitucional del régimen normativo y de gestión de las subvenciones fijado por el Estado depende de las competencias que el Estado posea en la materia de que se trate”, ya que “la subvención no es un concepto que delimite competencias”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coinciden en afirmar que el ámbito material en el que se incardina la norma recurrida es el relativo a “asistencia social”. Según una doctrina reiterada, la noción de asistencia social no está precisada en el texto constitucional y nuestro constituyente maneja un concepto consagrado por la práctica nacional e internacional, por lo que ha de entenderse remitida a conceptos elaborados en el ámbito de la legislación general, que deben atraerse a la interpretación constitucional. Atendiendo a las pautas de algunos instrumentos internacionales como la Carta social europea, hemos considerado que la asistencia social, en sentido abstracto, “abarca una técnica de protección situada extramuros del Sistema de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(SSTC 79/1986, de 5 de junio, FJ 7; 146/1986, de 25 de noviembre, FJ 2; 239/2002, de 11 de diciembre, FJ 5; 178/2011, de 8 de noviembre, FJ 4; y 36/2012, de 15 de marzo, FJ 4). El examen del Real Decreto permite confirmar que las ayudas objeto de la controversia se integran sin dificultad en el ámbito de la asistencia social, puesto que, como se señala en el preámbulo, las mismas se dirigen “a atender necesidades sociales urgentes de las personas mayores en situación de dependencia”, mediante una aportación financiera destinada a “finalizar la construcción, ampliación, adaptación o equipamiento de centros para poder proceder a su inmediata puesta en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de asistencia social figura en el art. 148.1.20 CE y es por tanto competencia posible de las Comunidades Autónomas. Ha sido efectivamente asumida por la Comunidad Autónoma de Castilla y León con carácter exclusivo, en los términos previstos en el citado art. 70.1.10 del vigente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el marco competencial, es preciso analizar la posible existencia de otros títulos que justifiquen la regulación efectuada por el Estado, tomando como punto de partida el hecho de que “el Estado puede asignar fondos públicos de sus presupuestos a cualquier finalidad lícita, incluso aunque implique la financiación de acciones de fomento en materias de competencia exclusiva de las Comunidades Autónomas, pudiendo, en tales casos, fijar el destino o finalidad de política social o económica a que se deban dedicar los fondos” (SSTC 13/1992, FJ 7; 202/1992, FJ 6; 36/2012, FJ 9; y 72/2012, FJ 5). Pero, ello no excusa que el Estado deba ajustarse al orden constitucional de competencias, tanto en la programación como en la ejecución de ese gastos, lo que obligará, en definitiva, a estar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Comunidades Autónomas reconoce el art. 156.1 CE” (STC 36/2012, de 15 de marzo, FJ 7, con cita de la STC 96/1990, de 24 de mayo,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el Abogado del Estado considera que el título competencial que tiene un carácter específico en relación con la materia regulada es el contemplado en el art. 149.1.18 de la Constitución, y, subsidiariamente, lo dispuesto en el art. 9.2, en conexión con los arts. 40, 41 y 50, así como en el art. 149.1.1 CE, de los cuales se derivaría la existencia de un deber específico de colaboración del Estado con las entidades locales que justificaría, en concreto, la aportación de fondos estatales destinados a la realización de aquellos servicios municipales que se configuren en la legislación básica estatal como servicios de prestación obligatoria por los municipios, por lo que, además, considera que la competencia subvencional encontraría cobertura en lo dispuesto en los arts. 137, 138 y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en primer lugar, la aplicación del título competencial del art. 149.1.18 CE pues el régimen local no es una materia o sector de actividad concreto. La mera relación directa que el Estado puede entablar con las corporaciones locales no es título bastante para eliminar en todo caso la intervención autonómica en las subvenciones que se otorguen a las entidades locales [STC 227/2012, de 29 de noviembre, FJ 4 d)]. Tampoco resulta de aplicación el título competencial del art. 149.1.14 CE, pues la finalidad de las ayudas no tiene por objeto la salvaguarda de la suficiencia financiera de las entidades locales, sino la construcción y equipamiento de centros destinados a personas de la tercera edad en situación de dependencia [STC 227/2012,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rechazado recientemente que el art. 149.1.1 CE sea un título competencial suficiente para justificar determinadas ayudas en materia de asistencia social, pues esta competencia no se mueve en la lógica de las bases y legislación de desarrollo, ni es un título horizontal capaz de introducirse en cualquier materia o sector del ordenamiento [STC 173/2012, de 15 de octubre, FJ 5 a); y 177/2012, de 15 de octubre, FJ 5 a)]. De ahí que, debemos descartar la competencia estatal invocada a partir de este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resto de preceptos constitucionales invocados por la Abogacía del Estado, como son la promoción de la igualdad del individuo y los grupos que lo integran, y las previsiones de los arts. 40, 41 y 50 CE, si bien legitiman la capacidad del Estado para disponer de su presupuesto en la acción social o económica, no constituyen por sí mismos “un título competencial autónomo a favor del Estado, sino un mandato que ha de informar la actuación de todos los poderes públicos” (SSTC 59/1995, de 17 de marzo, FJ 3; y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STC 13/1992, el Tribunal estableció un esquema de delimitación competencial entre el Estado y las Comunidades Autónomas, en cuanto al ejercicio de la potestad subvencional de gasto público, resumido en cuatro supuestos generales y que, como recuerda la reciente STC 38/2012, de 26 de marzo, FJ 4, pese al carácter abierto del esquema en el que se insertan, sigue siendo referente constante en nuestra doctrina posterior y de las alegaciones de las partes en los procesos de constitucionalidad. También en el supuesto que nos ocupa, el debate trabado entre las partes, una vez encuadradas competencialmente las ayudas controvertidas, se centra en determinar el supuesto que, de los cuatro que se contemplan en nuestra doctrina, resulta de aplicación a las ahora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Comunidad Autónoma de Castilla y León considera que en el presente caso nos encontramos en el primero de los supuestos, contemplado en el fundamento jurídico 8 a) de la Sentencia 13/1992, al tratarse de una materia o sector sobre el que recae la competencia exclusiva de la Comunidad Autónoma. Respecto del mencionado supuesto se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disiente del anterior planteamiento, y considera que la regulación efectuada encaja en el cuarto y último supuesto del mencionado fundamento jurídico 8 de la Sentencia,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cuarto y último supuesto es aquél en que no obstante tener las Comunidades Autónomas competencias exclusivas sobre la materia en que recaen las subvenciones, éstas pueden ser gestionadas, excepcionalmente, por un órgano de la Administración del Estado u organismo de éste dependiente, con la consiguiente gestión centralizada de las partidas presupuestarias en los Presupuestos Generales del Estado. Pero ello solo es posible cuando el Estado ostente algún título competencial, genérico o específico, sobre la materia y en las circunstancias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objeto de examen, las subvenciones se encuadran en el supuesto recogido en el fundamento jurídico 8 a) de la STC 13/1992. Al no poder justificarse título competencial estatal alguno, ni genérico ni específico, no se cumple la premisa exigida por el cuarto supuesto de la STC 13/1992, FJ 8 d), para justificar la gestión centralizada, o sea, que el Estado ostente algún título competencial, genérico o específico, sobre la materia, por lo que no es necesario entrar a examinar si se dan las otras circunstancias excepcionales que exige aquel supuesto (STC 227/2012, de 29 de noviembre, FJ 6). Ello implica que los fondos correspondientes a los municipios situados en el territorio de la Comunidad Autónoma de Castilla y León, deberían haberse territorializado en los propios presupuestos generales del Estado o, en su defecto, por normas inmediatamente posteriores o por convenio, siendo así que la disposición examinada impone la centralización de todo el procedimiento de gestión, resolución y pago de las ayudas, por lo que se vulneran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alcance del fallo, atendiendo a lo solicitado en el texto de la demanda, que se concreta en la anulación de la disposición y a la declaración de la competencia autonómica para el “abono directo” de la subvención, y teniendo en cuenta que, como hemos declarado en otros casos (SSTC 75/1989, de 21 de abril; 13/1992, de 6 de febrero; 79/1992, de 28 de mayo; 186/1999, de 14 de octubre y 38/2012, de 26 de marzo, entre otras) la disposición impugnada ya ha agotado sus efectos y se podría afectar a situaciones jurídicas consolidadas, la pretensión de la Junta de Castilla y León ha de estimarse satisfecha mediante la declaración de la titularidad de la competencia controvertida, sin necesidad de que haya de procederse a la anulación de los preceptos correspondientes.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formulado y declarar que corresponde a la Junta de Castilla y León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