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pretendida.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inconstitucionalidad 4573-2002, interpuesto por el Presidente del Gobierno contra los arts. 2, 7.3 a) y 9.5 de la Ley de la Asamblea de Extremadura 2/2002, de 25 de abril, de protección de la calidad del suministro eléctrico en Extremadura se ha dictado la STC 4/2013, de 17 de enero, notificada a las partes en esa misma fecha y publicada en el “Boletín Oficial del Estado”, núm. 37, de 12 de febrero. En el apartado 1 b) del fallo se declara “que el art. 7.3 a) de la Ley de Extremadura 2/2002, de 25 de abril, de protección de la calidad del suministro eléctrico en Extremadura, no vulnera las competencias del Estado, interpretado en los términos del fundamento jurídico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General de este Tribunal el día 15 de febrero de 2013 el Letrado de la Junta de Extremadura solicita la aclaración de la citada Sentencia señalando que el punto 1 de la letra b) del fallo establece que el art. 7.3 a) de la Ley 2/2002 no vulnera las competencias estatales interpretado en los términos del fundamento jurídico 8. Para la representación procesal de la Junta de Extremadura surgen dudas a la hora de interpretar el mencionado fundamento jurídico. Así, tras aludir al contenido de la norma autonómica y de la norma estatal con la que se relaciona, estima necesario aclarar el alcance de la expresión “la duración de una concreta interrupción en un contexto previo de superación de los índices de continuidad del suministro”, planteando a tal efecto dos alternativas respecto al entendimiento de dicha expresión. La primera de ellas, que es la asumida por la Administración, señala que la reducción de la facturación a abonar por los consumidores que el precepto establece se producirá en el caso de variaciones de tensión o interrupciones de suministro de duración superior a 1 hora, con independencia de que se superen o no los valores de calidad de la continuidad del suministro que establece el art. 104.2 del Real Decreto 1955/2000. La segunda es que dicha reducción en la facturación se aplicará únicamente una vez que exista un incumplimiento de los índices de continuidad establecidos en el ya citado art. 104.2 del Real Decreto 1955/2000, para las interrupciones consideradas en el cómputo anual, que superen la duración de una hora.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(LOTC) establece que en el plazo de dos días, a contar desde la notificación, las partes podrán solicitar la aclaración de la Sentencia. Esta actuación judicial, de acuerdo con el art. 267.1 de la Ley Orgánica del Poder Judicial (LOPJ), deberá limitarse a “aclarar algún concepto oscuro y suplir cualquier omisión que contengan” sobre puntos discutidos en el litigio, siendo posible también rectificar los errores materiales manifiestos y los aritméticos allí contenidos, pero no podrá suponer, sin embargo, variación o modificación de la Sentencia (entre otros, AATC 363/2007, de 11 de septiembre; 439/2006, de 11 de diciembre; 70/2008, de 26 de febrero, y 32/2010, de 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aclaración se ha formulado de manera extemporánea. Como ha quedado expuesto en lo antecedentes, dicha resolución se presentó en el Registro General de este Tribunal Constitucional el día 15 de febrero de 2013, cuando, según consta en autos, la STC 4/2013 se notificó oficialmente por correo certificado al servicio jurídico de la Junta de Extremadura el día 17 de enero, constando asimismo en autos la recepción de dicha notificación el día 28 de enero. Debe entenderse que el cómputo del plazo de dos días para la solicitud de aclaración de las Sentencias de este Tribunal comienza desde la notificación en forma de la resolución impugnada, que en este caso se produjo, como queda dicho, el 28 de enero, lo que conduce a la conclusión de que el escrito de solicitud de aclaración está fuera del mencionado plazo legal, pues el plazo de dos días a contar desde la notificación que señala el art. 93.1 LOTC había sobradamente transcurrido el día 15 de febrero, fecha en la que se presenta la solicitud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lo anterior motivo suficiente para estimar que no procede acceder a la pretensión de aclaración efectuada por el Letrado de la Junta de Extremadura, también es preciso señalar que, atendiendo a los términos en los que la solicitud se formula, se aprecia que, en realidad, bajo la denominación de solicitud de aclaración, se nos pide ahora un nuevo pronunciamiento acerca del precepto impugnado, lo que obviamente es improcedente en este momento procesal. En efecto, no procede hacer manifestación alguna que pueda conllevar alteración de la fundamentación o de la decisión de la Sentencia, dado que no existe concepto oscuro que aclarar para garantizar la integridad de lo resuelto. El fallo se corresponde con lo razonado en el fundamento jurídico 8 de la Sentencia, y es ahí donde la parte ha de encontrar la aclaración a sus dudas.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pretendida.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