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3930-2012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3930-2012.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junio de 2012, el Procurador de los Tribunales don Javier Cuevas Rivas, en nombre y representación de Arnaldo Otegi Mondragón, Arkaitz Rodríguez Torres, Sonia Jacinto García y Miren Zabaleta, interpuso recurso de amparo contra la Sentencia de la Sala de lo Penal del Tribunal Supremo de fecha 7 de mayo de 2012, dictada en recurso de casación núm. 11.773-2011, interpuesto contra la dictada por la Sección Cuarta de la Sala de lo Penal de la Audiencia Nacional de fecha 16 de septiembre de 2011 (rollo de Sala núm. 95-2009), en la que se declaraba haber lugar parcialmente al recurso de casación y se condenaba: a) a Arnaldo Otegi Mondragón como autor en su modalidad básica de un delito de pertenencia a organización terrorista a la pena de seis años y seis meses de prisión, inhabilitación especial para el ejercicio del derecho de sufragio pasivo por igual tiempo e inhabilitación especial para empleo o cargo público por tiempo de diez años; y b) a Arkaitz Rodríguez Torres, a Sonia Jacinto García y a Miren Zabaleta como autores en su modalidad básica de un delito de pertenencia a organización terrorista, respectivamente, a la pena de seis años de prisión, inhabilitación especial para el ejercicio del derecho de sufragio pasivo por igual tiempo e inhabilitación especial para empleo o cargo público por tiempo de diez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recurrida en amparo estimaba parcialmente el recurso de casación promovido contra la Sentencia dictada por la Sección Cuarta de la Sala de lo Penal de la Audiencia Nacional de 16 de septiembre de 2011 (rollo de Sala núm. 95-2009).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solicitaba por otrosí, ex art. 56 de la Ley Orgánica del Tribunal Constitucional, la suspensión de la ejecución de las penas impuestas a los demandantes de amparo, por cuanto podría causar un perjuicio tal que haría perder la finalidad del presente recurso de amparo, sin que dicha suspensión ocasione perturbación grave a ningún derecho constitucionalmente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6 de mayo de 2013, y tras admitir el recurso por providencia fechada en el mismo día, acordó la formación de pieza separada para la tramitación del incidente sobre la suspensión solicitada: asimismo, conceder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presentó escrito de alegaciones con fecha 14 de mayo de 2013 en el que reitera la petición de suspensión con fundamento en que los demandantes de amparo se encuentran en prisión desde el mes de octubre de 2009, por lo que la no suspensión ocasionaría un perjuicio irreparable a los recurrentes que dejaría totalmente en entredicho la eficacia de un eventual fallo estimatorio.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21 de mayo de 2013, presentó alegaciones solicitando que se deniegue la suspensión por tratarse de penas graves, cuya duración excede de los cinco años de privación de libertad, por tratarse de un delito de gran trascendencia social, lo que abona la continuación de la situación actual que colma el interés general en el cumplimiento de las resoluciones judiciales, y por el estado actual de este proceso constitucional, próximo a su terminación.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pieza cautelar consiste en determinar si procede la suspensión de la ejecución de la Sentencia recurrida y para su examen procede tener en cuenta que el art.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mantenida por este Tribunal subraya que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1/2010, de 11 de enero, 8/2011, de 14 de febrero, y 18/2011, de 28 de febrero,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12/2009, de 26 de enero, 112/2011, de 18 de julio).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(ATC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en relación a la suspensión de las penas de prisión, este Tribunal ha venido utilizando como criterio de ponderación prioritario el de gravedad de la pena, aplicando de forma reiterada como directriz inicial la de que la pena se sitúe por encima o por debajo de la frontera de los cinco años de prisión (AATC 16/2009, de 26 de enero; 18/2011, de 28 de febrero, FJ 2; y 61/2013, de 27 de febrero, FJ 2), que es la que le sirve al legislador penal para diferenciar entre las penas graves y las menos graves (art. 33 del Código penal)” (ATC 44/2012,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criterio es reiterado en el ATC 185/2012, de 15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 tales presupuestos, debemos considerar que en este caso los demandantes fueron condenados todos ellos a penas superiores a cinco años de prisión (concretamente, seis años y seis meses en el caso del señor Otegi y seis años los demás recurrentes), que se hallan por encima del citado margen de gravedad con que, como regla general, opera este Tribunal en materia de suspensión; junto a ello, no cabe desatender que la condena se basa en la pertenencia a organización terrorista de los recurrentes, lo que afecta a bienes jurídicos esenciales, por lo que la suspensión puede implicar una perturbación grave de un interés constitucionalmente protegido como lo es el legítimo interés público en el cumplimiento de las penas, en atención a la gravedad del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anteriores pronunciamientos, hemos venido manejando estos mismos criterios en cuanto a delitos relacionados con esta materia, donde se ha denegado la suspensión en supuestos en que faltaba por cumplir periodos inferiores, como en el caso del ATC 334/2004, de 13 de septiembre, en que faltaban por cumplir dos años, y sólo se ha matizado este criterio en casos de delitos relacionados con el terrorismo de menor desvalor que el ahora contemplado como el de colaboración con organización terrorista (ATC 466/2007, de 17 de diciembre, FJ 3), por lo que no existen razones justificativas que alteren el criterio consolidado de la doctrina de este Tribunal en situaciones similares a la aquí contemplada.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es notorio que tampoco cabe acordar la suspensión del resto de los pronunciamientos de las resoluciones impugnadas al seguir las penas accesorias la misma suerte que la principal (AATC 131/2001, de 22 de mayo, FJ 2; 408/2005, de 21 de noviembre, FJ 2; y 80/2006, de 13 de marzo, FJ 2, entre otros) y por ser susceptibles de reparación los de contenido patrimonial (AATC 101/2012, de 21 de mayo, FJ 2; 126/2010, de 4 de octubre, FJ 2; y 59/2008, de 20 de febrero,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precedentes conducen, de acuerdo a lo solicitado por el Ministerio Fiscal, a denegar la suspensión instada.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3930-2012.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