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630-2013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los arts. 1.2, letras a) a e) de la Ley del Parlamento de Cataluña 8/2004, de 23 de diciembre, de horarios comerciales, en la redacción dada por el art. 1 del Decreto-ley 4/2012; los arts. 2.1, letras b), c), d), f), i) y j) y 2.2 de la misma Ley 8/2004, en la redacción dada por el art. 2 del Decreto-ley 4/2012 y el art. 5 del Decreto-ley 4/2012.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febrero de 2013, el Abogado del Estado, actuando en la representación que legalmente ostenta, interpuso recurso de inconstitucionalidad contra los arts. 1.2 a) a e), 2.1 b), c), d), f), i) y l), 2.2 y 5 del Decreto-ley de Cataluña 4/2012, de 30 de octubre, de medidas en materia de horarios comerciales y determinadas actividades de promoción, invocando el art. 161.2 CE y el art. 30 de la Ley Orgánica del Tribunal Constitucional (LOTC) a los efectos de la suspensión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febrero de 2013, el Pleno del Tribunal Constitucional acordó admitir a trámite el recurso y tener por invocado el art. 161.2 CE con suspensión de la vigencia y aplicación de los preceptos impugnados. Asimismo acordó dar traslado de la demanda y documentos aportados al Congreso de los Diputados, al Senado, al Gobierno y al Parlamento de Cataluña, para que pudieran personarse y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el Tribunal Constitucional el 6 y 7 de marzo de 2013, los Presidentes del Senado y del Congreso comunicaron la personación de sus respectivas Cámaras en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 la Generalitat de Cataluña se opuso a la demanda mediante escrito registrado en el Tribunal Constitucional el 22 de marzo de 2013, suplicando, además, el levantamiento de la suspensión sin esperar a que transcurrieran los cinco meses. Alega que el levantamiento de la suspensión de la vigencia de los preceptos impugnados no ocasiona daños irreversibles o de difícil reparación reales y efectivos a los intereses generales o de terceros, lo que basa en que el Decreto-ley se ha limitado a mantener el statu quo anterior a la norma impugnada, caracterizado por promover el equilibrio entre los distintos formatos comerciales. Un modelo que permite la accesibilidad de los consumidores a los servicios comerciales y contribuye a la conciliación de la vida laboral y familiar, cuya aplicación no produciría daños irreparables, pues la extensión del horario comercial no se traduce en un incremento del consumo sino que se limita a desplazar a los consumidores de unos formatos comerciales y de unos segmentos horarios a otros. Por el contrario, la prórroga de la suspensión conllevaría la desaparición del modelo comercial de Cataluña, y su desmantelamiento irreversible, ya que los establecimientos de pequeño formato y proximidad no podrían resistir la competencia de las grandes cadenas y en pocos años irían desapareciendo con el consiguiente perjuicio de los consumidores que se verían privados de un comercio de proximidad y del turismo urbano atraído por la oferta comercial de la ciudad.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el Tribunal Constitucional el 22 de marzo de 2013, la Letrada del Parlamento de Cataluña, actuando en representación de este último, presentó alegaciones solicitando, además, el levantamiento anticipado de la suspensión por entender que el mantenimiento de la misma produce, en primer lugar, un vacío normativo que afecta a la regulación general de los establecimientos comerciales así como para los supuestos de exclusión del art. 2 del Decreto-ley de Cataluña. Entiende, en segundo lugar, que del mantenimiento de la suspensión no se obtiene beneficio alguno pero se produce un perjuicio irreparable a la estructura comercial catalana, dado el predominio de los grandes centros comerciales sobre el pequeño comercio. El levantamiento de la suspensión significaría mantener la situación preexistente que hasta la fecha no ha generado ningún perjuicio económico toda vez que la ampliación de horarios solo sería una expectativa de negocio.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Evacuando el trámite conferido por la providencia del Pleno de 1 de abril de 2013, la Abogacía de Estado, por escrito registrado en el Tribunal Constitucional el 9 de abril de 2013, presentó, en el incidente cautelar, las alegaciones que se resumen a continuación. Antes de proceder a la concreta ponderación de los daños y perjuicios que se ocasionarían por el mantenimiento o levantamiento de la suspensión, expone (a partir de datos obtenidos del Instituto Nacional de Estadística), la situación en que se encuentra el comercio interior en general y, en especial, la situación en que se encuentra el comercio minorista en Cataluña que, en comparación con el del resto de Comunidades Autónomas, habría experimentado una evolución menos positiva, es decir, un porcentaje menor de ocupados en el comercio minorista, una tasa superior de incremento del paro en este tipo de comercio, y un decremento más intenso del número de locales de comercio minorista. Por el contrario, la Comunidad de Madrid, que habría aplicado el modelo más liberalizador, arroja datos mucho mejores, tanto en número de locales comerciales, como en datos de empleo y evolución del índice de precios de consumo.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irreparables que se ocasionarían como consecuencia del levantamiento de la suspensión, la Abogacía del Estado distingue entre (i) aquellos que vendrían provocados por la restricción del régimen de horarios comerciales y (ii) por la restricción de los periodos para realizar ventas en rebajas. En cuanto a la restricción de horarios expone que la impuesta por el Decreto-ley impugnado a la libertad estatal de horarios tiene una especial trascendencia en relación con el resto del sector comercial nacional y en relación con los volúmenes de ventas, por lo que los comerciantes de Cataluña quedan en una posición sustancialmente inferior a los del resto del sector nacional. Además, entiende que incide en las expectativas económicas del sector y en la creación de puestos de trabajo, y que si se generalizase esta práctica legislativa en las Comunidades Autónomas, el Real Decreto-ley del Estado carecería virtualmente de toda eficacia mientras se tramitaran los correspondientes recursos de inconstitucionalidad. Asimismo indica que los intereses de los consumidores se verían lesionados y que los comerciantes que hayan realizado las correspondientes inversiones para poder ampliar su horario hasta los límites permitidos en el Real Decreto-ley estatal se verían perjudicados por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restricciones a las modalidades de venta que se imponen por el Decreto-ley impugnado, su levantamiento originaría daños irreversibles a los comerciantes. Finalmente entiende que la incidencia que la normativa catalana está generando y puede generar en el comercio minorista, privando a los comerciantes situados en esta Comunidad Autónoma de desarrollar su actividad comercial en un plano de igualdad con el resto, es un perjuicio real inmediato y directo que no puede ser posteriormente reparado.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del presente incidente cautelar determinar si procede el levantamiento anticipado de la suspensión acordada por el Pleno del Tribunal Constitucional, mediante providencia de 26 de febrero de 2013, de los arts. 1.2 letras a) a e), 2.1 letras b), c), d), f), i) y l), 2.2 y 5 del Decreto-ley de Cataluña 4/2012, de 30 de octubre, de medidas en materia de horarios comerciales y determinadas actividades de promoción. El levantamiento de la suspensión, instado en los escritos de contestación a la demanda de los Letrados de la Generalitat y del Parlamento de Cataluña, se fundamenta en que la suspensión de la normativa autonómica con la que se pretende conservar el statu quo existente, provocaría un daño irreparable al pequeño comercio, sin que se haya acreditado en modo alguno que la liberalización de horarios tenga un efecto beneficioso sobre el consumo. El Abogado del Estado se opuso a lo solicitado de contrario. Entiende que los datos, comparativamente menos favorables del comercio minorista en Cataluña, se deben a la escasa liberalización del sector comercial y que el mantenimiento de la suspensión supondría un daño irreparable para los comerciantes catalanes en relación con el resto de comerciantes, para los consumidores, y en general para el consumo, con especial incidencia en la economía.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de este Tribunal que la solicitud de levantamiento anticipado de la suspensión, sin esperar al transcurso de los cinco meses previstos en el art. 161.2 CE, constituye una solicitud viable procesalmente, y que forma parte de las potestades de este Tribunal la de ratificar o levantar la suspensión dentro de ese plazo (ATC 60/2013, de 26 de febrero, FJ 2). Asimismo, tenemos señalado que para la resolución de este tipo de incidentes de suspensión, resulta necesario ponderar los intereses, tanto el público como los privados o de terceros, que se verían afectados por el levantamiento o mantenimiento de la suspensión, y los daños o perjuicios irreparables que podría ocasionar la resolución adoptada, todo ello al margen de la apreciación de la apariencia de buen derecho fumus boni iuris de las pretensiones formuladas en la demanda. Finalmente, hemos afirmado que, como consecuencia de la presunción de constitucionalidad que asiste a la norma autonómica impugnada, el mantenimiento de la suspensión requiere que el Gobierno, a quien se debe la iniciativa, no sólo invoque la existencia de perjuicios derivados de su aplicación, sino que razone consistentemente sobre su procedencia y la imposible o difícil reparación de dichos perjuicios (ATC 124/2013, de 21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Son objeto del recurso de inconstitucionalidad en cuyo seno se tramita este incidente cautelar, determinados preceptos, reguladores de los horarios comerciales y periodos de rebajas, del Decreto-ley 4/2012, de 30 de octubre, que trae causa del Real Decreto-ley 20/2012, de 13 de julio, de medidas para garantizar la estabilidad presupuestaria y de fomento de la competitividad, cuyos arts. 27 y 28, que contienen la regulación de horarios y ventas promocionales, han sido dictados en el ejercicio de la competencia que le atribuye el art. 149.1.13 CE (disposición final cuarta del Real Decreto-ley 20/2012). Aunque son reiterados los pronunciamientos de este Tribunal sobre el levantamiento de la suspensión de normas autonómicas en materia de horarios comerciales y ventas promocionales (entre otros, AATC 20/2002, de 12 de febrero, 47/2002, de 21 de marzo, 453/2006, de 12 de diciembre), la presente cuestión incidental presenta una peculiaridad, que la distingue de los precedentes, ajena por completo al fondo de la controversia competencial trabada, cuya viabilidad no puede en modo alguno ser tenida en cuenta en este incidente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y sin entrar en modo alguno en el fondo del recurso planteado por el Estado contra los preceptos antes citados del Decreto-ley autonómico, cabe constatar, a partir de una mera lectura de su exposición de motivos y del escrito de alegaciones de la Generalitat de Cataluña en el que solicita el levantamiento anticipado de la suspensión de la norma autonómica, que ésta ha sido dictada con la finalidad de suspender los efectos de la legislación estatal básica, la cual ha sido impugnada ante este Tribunal por la Generalitat de Cataluña en el recurso de inconstitucionalidad que se tramita con el núm. 1983-2013.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Singularidad en la que ha reparado la Abogacía del Estado que invoca el perjuicio que acarrearía para el interés general el levantamiento de la suspensión de la norma autonómica impugnada, consistente en la inaplicación de la normativa estatal que carecería virtualmente de toda eficacia mientras se tramitaran los correspondientes recursos de inconstitucionalidad interpuestos contra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exposición de motivos de la norma impugnada reconoce que la situación generada por la entrada en vigor del Real Decreto-ley 20/2012, de 13 de julio, ha comportado “la ruptura del equilibrio competencial existente hasta este momento entre el Estado y la Generalidad, tanto en materia de horarios comerciales como en determinados aspectos de la regulación de las ventas promocionales”, situación frente a la que ha tenido que reaccionar el Gobierno de la Generalidad detallando “de una manera clara en una disposición … cuál es la normativa aplicable en Cataluña en materia de horarios comerciales y en materia de actividades comerciales promocionales, visto el conjunto de modificaciones normativas mencionadas, y en virtud de los títulos competenciales en juego, en defensa de las competencias exclusivas de la Generalidad en materia de comercio”. Señala, además, la exposición de motivos que “las medidas adoptadas en relación al conflicto planteado pueden conducir previsiblemente a la interposición del correspondiente recurso de inconstitucionalidad y considerando la demora inherente a los procedimientos que se sustancian ante el Tribunal Constitucional, se hace necesario aprobar, de manera urgente y como medida cautelar, este Decreto Ley con la finalidad de evitar daños irreparables derivados del impacto de la nueva regulación que ha sido impulsada por el Gobierno del Estado”. Y concluye afirmando que “la urgencia dimana precisamente de la necesidad de preservar y clarificar el marco jurídico aplicable en Cataluña hasta el momento en que se produce el pronunciamiento de la autoridad jurisdiccional competente por lo que respecta a los títulos competenciales respectivamente invocados. Se trata de velar por la seguridad jurídica de los operadores y evitar perjuicios inmediatos e irreparables que la prolongación de la actual situación generaría sobre la estructura comercial catalana y sobre la conciliación de la vida laboral y familiar de las cerca de 300.000 personas que trabajan en el comercio al detalle”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propósito declarado en los párrafos hasta aquí transcritos se ha visto, además, corroborado por la Letrada de la Generalitat de Cataluña en su escrito de alegaciones. En él reconoce expresamente que el Decreto-ley impugnado “no ha ceñido su regulación al exiguo espacio de regulación autonómica que, con infracción del sistema constitucional de distribución de competencias en materia de comercio interior, ha dejado a salvo el Real Decreto Ley 20/2012”. Afirma, asimismo, que, en ejercicio de las competencia que el art. 121 del Estatuto de Autonomía de Cataluña atribuye a la Comunidad Autónoma en materia de comercio interior, el Decreto-ley impugnado “se aparta de las modificaciones introducidas en la legislación básica estatal por el Real Decreto Ley 20/2012 en aquellos aspectos en que el Gobierno de Cataluña ha estimado que exceden del ámbito de la competencia estatal”, razón por la cual el levantamiento de la suspensión de la norma autonómica no supone daño alguno para el interés general en cuanto que ésta se ha limitado a mantener el statu quo, esto es, a mantener la situación regulatoria preexistente en Cataluña que debería haberse visto directamente afectada por las medidas liberalizadoras contenidas en el Real Decreto-ley estatal. En este mismo sentido, la Letrada del Parlamento de Cataluña reconoce que los preceptos impugnados son una simple reiteración de la regulación contenida en la Ley del Parlamento de Cataluña 8/2004, de horarios comerciales, de la Ley 7/1996, de 15 de enero de ordenación del comercio minorista y del Decreto 150/1996, de 30 de abril, por el que se establecen los periodos de rebajas, vigentes cuando se aprobó el Real Decreto-ley 20/2012.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presente supuesto presenta una identidad sustancial con el resuelto en el ATC 336/2005, de 15 de septiembre. En aquel caso, el Abogado del Estado se oponía al levantamiento de la suspensión de la normativa autonómica impugnada porque “en su criterio, ambas Leyes autonómicas tienen como objetivo bloquear una iniciativa del Gobierno materializada en un proyecto de Ley, actualmente en fase de tramitación parlamentaria, que pretende devolver a la Generalidad de Cataluña y a determinadas personas físicas y jurídicas los fondos documentales que les fueron incautados tras la contienda civil y que se encuentran depositados en el Archivo General de la Guerra Civil, generando así los perjuicios consiguientes al interés general y a los intereses particulares”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Entendimos entonces que “en éste, o en otros supuestos similares, la capacidad de bloqueo de una Ley Autonómica respecto del ejercicio de competencias atribuidas al Estado por el bloque de constitucionalidad excede de las situaciones normales de controversia competencial, por cuanto incluso podría poner en cuestión, hasta eliminarla o desvirtuarla, una competencia estatal claramente reconocida por la Norma Fundamental”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concluimos que, en estos supuestos de clara trascendencia constitucional, no cabía seguir la doctrina de este tribunal sobre la necesidad de acreditar o demostrar los perjuicios que conllevaría el levantamiento de la suspensión: “Por ello, en estos supuestos, cuando se esté ante un caso de clara trascendencia constitucional que afecte a todo, o a parte, del conjunto normativo de una Ley y pese a que la doctrina de este Tribunal haya abundado, como igualmente se ha puesto de relieve con anterioridad en el FJ 2, en el criterio de que constituye una carga de la Administración recurrente, por medio de su representación procesal, señalar, e incluso evidenciar, los perjuicios que para el interés general pudieran derivarse del levantamiento de la suspensión reconocida por el art. 161.2 CE, este Tribunal Constitucional no puede limitarse a seguir inexorablemente esa doctrina, que en definitiva vincula el mantenimiento o levantamiento de la suspensión de las disposiciones de que aquí se trata a que el Abogado del Estado haya presentado ante este Tribunal una argumentación indicativa o, más aún, demostrativa del mencionado perjuicio a los intereses generales que derivarían del tan repetido levantamiento de la suspensión”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es verdad que, a diferencia del caso analizado en el ATC 336/2005 citado, los límites de la competencia estatal no son claros e inequívocos, cuestión sobre la que habremos de pronunciarnos en el momento procesal oportuno, la finalidad expuesta en la norma impugnada de ejercer una competencia propia para bloquear el ejercicio por el Estado de las suyas, constituye un supuesto de clara trascendencia constitucional que debe llevarnos al mantenimiento de la suspensión de la norma autonómica impugnada mientras se determina por este Tribunal la conformidad con la distribución competencial de las normativas, estatal y autonómica, impugnadas.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los arts. 1.2, letras a) a e) de la Ley del Parlamento de Cataluña 8/2004, de 23 de diciembre, de horarios comerciales, en la redacción dada por el art. 1 del Decreto-ley 4/2012; los arts. 2.1, letras b), c), d), f), i) y j) y 2.2 de la misma Ley 8/2004, en la redacción dada por el art. 2 del Decreto-ley 4/2012 y el art. 5 del Decreto-ley 4/2012.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