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septiembre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Francisco José Hernando Santiago, don Fernando Valdés Dal-Ré, don Juan José González Rivas,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2729-2012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2729-2012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petición de nulidad de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julio de 2013 la Procuradora de los Tribunales doña Virginia Aragón Segura, actuando en nombre y representación de don Baltasar Garzón Real, presentó en el Registro General de este Tribunal un escrito promoviendo incidente de nulidad de actuaciones contra la providencia recaída el 29 de octubre de 2012 en el recurso de amparo núm. 2729-2012, que fue dictada por la Sección Cuarta del Tribunal, entonces integrada por los Excmos. Sres. Pérez Tremps (Presidente), Hernando Santiago y Pérez de los Cobos Orihuel.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tenor de la providencia cuya nulidad se solicita es el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ha examinado el recurso presentado y ha acordado no admitirlo a trámite, con arreglo a lo previsto en el art. 50.1 a) LOTC, dada la manifiesta inexistencia de violación de un derecho fundamental tutelable en amparo, violación que, de acuerdo con el art. 44.1 LOTC, es condición para que este Tribunal pueda ejercer dicha tutela.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Notifíquese con indicación de que, si el Ministerio Fiscal no hubiese interpuesto recurso de súplica en el plazo legal de tres días, se archivarán estas actuaciones sin más trámite (art. 50.3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Madrid, a veintinueve de octubre de dos mil doce.”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petición de la nulidad de actuaciones se expone que el recurso de amparo inadmitido se dirigía contra la Sentencia de la Sala de lo Penal del Tribunal Supremo de 9 de febrero de 2012 que condenó al demandante, como autor de un delito de prevaricación, a consecuencia de su actuación profesional en un proceso penal en el que se encontraban imputados dirigentes y miembros del Partido Popular; añadiéndose que el 18 de julio del presente año el demandante tuvo conocimiento de que uno de los Magistrados que dictaron la providencia transcrita —el Excmo. Sr. don Francisco Pérez de los Cobos Orihuel— ha estado afiliado al Partido Popular, por lo que, al entender del recurrente, debió abstenerse de conocer del asunto, por concurrir la causa de recusación prevista en el art. 219.10 de la Ley Orgánica del Poder Judicial (LOPJ) (“tener interés directo o indirecto en el pleito o causa”), siendo irrelevante que el Magistrado afectado hubiese cesado o no en la afiliación política, ya que el vicio de origen se produce en el propio nombramiento. En este sentido expone que el art. 19 de la Ley Orgánica del Tribunal Constitucional se remite al régimen de incompatibilidades y prohibiciones de los miembros del Poder Judicial, afectando también a los Magistrados del Tribunal Constitucional la prohibición de pertenencia a partidos políticos establecida en el art. 395 LOPJ. De lo anterior colige que la intervención del Excmo. Sr. Pérez de los Cobos Orihuel ha vulnerado el art. 24.2 CE (en relación con los arts. 9.1 y 53.1 CE, 228.3 LOPJ y 6.3 del Código civil), en la medida en que el derecho a un proceso con todas las garantías incluye, con arreglo a la doctrina del Tribunal Constitucional y del Tribunal Europeo de Derechos Humanos que cita, el derecho a que tal proceso sea conocido por un juez imparcial. Por lo que antecede, solicita que se acuerde la nulidad de la providencia de 29 de octubre de 2012 y sea dictada nueva resolución por una Sección o Sala de la que no forme parte el mencionado Magistrado.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escrito presentado por la representación procesal de don Baltasar Garzón Real solicita la incoación de un incidente de nulidad de actuaciones que concluya con la anulación de la providencia recaída el 29 de octubre de 2012, mediante la que se inadmitió el recurso de amparo núm. 2729-2012.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pretensión debe ser rechazada a causa de que en los procesos constitucionales ya concluidos, como aquí acontece, resulta inviable, con carácter general, cualquier petición de revisión o nulidad, puesto que una vez que ha devenido firme la resolución que puso fin al correspondiente proceso ni siquiera este Tribunal puede dejarla sin efecto sino, a lo más, proceder a su aclaración (art. 93.1 de la Ley Orgánica del Tribunal Constitucional: LOTC) o a corregir errores materiales (por todos, ATC 68/2013, de 12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resulta, en primer lugar, de lo dispuesto en el art. 164.1 CE, con arreglo al cual las Sentencias del Tribunal Constitucional “tienen el valor de cosa juzgada a partir del día siguiente a su publicación y no cabe recurso alguno contra ellas”. De acuerdo con este mandato constitucional, el art. 93.1 LOTC repite que “contra las sentencias del Tribunal Constitucional no cabe recurso alguno”. Del mismo modo, resultan inalterables las demás resoluciones de este Tribunal desde el momento en que adquieran firmeza, sea de modo inmediato si no son susceptibles de recurso de súplica o, cuando siéndolo (art. 93.2 LOTC), no se interpuso el recurso o si hubiese sido ya resuelto. Y ello resulta así porque es propio de todo Tribunal Constitucional resolver con autoridad de cosa juzgada.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ahí que la LOTC no prevea ninguna actuación procesal ni trámite alguno tendente a sustanciar posibles impugnaciones contra sus resoluciones firmes, ni cabe que el Tribunal cree una tramitación que su Ley Orgánica no contempla, incluso aunque con posterioridad se advierta que fue cometido cualquier defecto en la actividad procesal, como se puso de relieve en el ATC 3/1996, de 15 de enero (en el mismo sentido, ATC 46/1998, de 24 de febrero).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nuestra Ley Orgánica no contempla el incidente de nulidad de actuaciones entre los medios impugnatorios que pueden promoverse contra las resoluciones de este Tribunal. Y “existiendo en la LOTC previsiones explícitas y específicas sobre los recursos o medios impugnatorios frente a las resoluciones dictadas por este Tribunal, no es posible entrar a debatir siquiera la aplicación de reglas extrañas a las misma, ni, más en concreto, es posible amparar en la regla de supletoriedad del art. 80 LOTC la aplicación frente a las resoluciones de este Tribunal del incidente de nulidad de actuaciones regulado en los arts. 240 y ss. LOPJ, ya que dicha aplicación vendría a contradecir el tenor explícito e indubitado de las previsiones de la LOTC, en particular, en lo que aquí interesa, de lo dispuesto en el art. 93 LOTC” (ATC 46/2010, de 14 de abril, FJ 2; y previamente los AATC 46/1998, de 24 de febrero, FJ 1; 275/2007, de 7 de junio, FJ 1; 276/2007, de 7 de junio, FJ 1; y 277/2007, de 7 de junio, FJ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fácilmente se comprende que en el presente caso carecería de sentido la previsión del art. 50.3 LOTC que legitima exclusivamente al Ministerio Fiscal para recurrir en súplica las providencias de inadmisión de los recursos de amparo si, al mismo tiempo, cualquiera de la partes pudieran impugnar la resolución a través de un incidente de nulidad de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consideraciones se han visto reforzadas tras la reforma del art. 241.1 de la Ley Orgánica del Poder Judicial (LOPJ) llevada a cabo por la Ley Orgánica 6/2007, de 24 de mayo, que ha configurado el incidente de nulidad de actuaciones como un instrumento procesal destinado a reparar lesiones de cualquier derecho fundamental causadas por órganos judiciales que no puedan ser remediadas a través de los recursos ordinarios o extraordinarios previstos por la ley. Importa recalcar que se trata de un cauce de reparación de eventuales vulneraciones de derechos fundamentales ocasionadas exclusivamente por los Jueces o Tribunales ordinarios, y cuya solución se encomienda a la propia jurisdicción ordinaria, con el fin de preservar la subsidiariedad del recurso de amparo. Es por ello que de lege lata este cauce impugnatorio no tiene acomodo frente a resoluciones de fondo emanadas de un Tribunal configurado como supremo intérprete de la Constitución y órgano jurisdiccional superior en materia de garantías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cualquier caso, desde un punto de vista sustantivo, suscitada la falta de imparcialidad de uno de los Magistrados que dictaron la providencia cuya anulación se pretende, debemos remitirnos al reciente pronunciamiento del Pleno de este Tribunal Constitucional contenido en el ATC 180/2013, de 17 de septiembre, en el que se recuerda que la Constitución no prohíbe a los Magistrados constitucionales la afiliación a partidos políticos o sindicatos sino que tan solo establece que la condición de miembro del Tribunal Constitucional es incompatible con el desempeño de funciones directivas en un partido político o en un sindicato y con el empleo al servicio de los mismos (arts. 159.4 CE y 19.1.6 LOTC); regulación equiparable en este punto a las de Alemania (art. 18.2 de la Ley del Tribunal Constitucional Federal de 12 de marzo de 1951), Italia (Ley de 11 de marzo de 1953), Francia (art. 2 del Decreto núm. 59-1292 de 13 de  noviembre de 1959) o Portugal (arts. 28 y 29.2 de la Ley 28/1982, de 15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criterio, afirmado ya en el ATC 226/1988, de 16 de febrero, FJ 3, es coincidente con la jurisprudencia del Tribunal Europeo de Derechos Humanos, que en la STEDH de 22 junio 2004, caso Pabla Ky c. Finlandia, ha tenido la oportunidad señalar que la afiliación política de los miembros de los Tribunales no afecta por sí misma a su imparcialidad si no guarda conexión o vínculo con las partes en el procedimiento o con la sustancia del litigio (§ 33), excluyendo así la vulneración del art. 6.1 del Convenio (§ 35). Del mismo modo, “conforme a nuestra Constitución, la mera afiliación a los partidos políticos es un derecho del que no están privados los Magistrados constitucionales [y] no cabe asociar a su ejercicio consecuencias automáticas que afecten a su idoneidad para el desempeño de su función” (ATC 180/2013, de 17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definitiva y por cuanto antecede, el rechazo de plano que procede acordar de la pretensión anulatoria obedece tanto a razones procesales —dado el momento procesal en que se presenta—, como de fondo, vista cuál ha sido su justificación.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petición de nulidad de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septiembre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