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José González Rivas en el recurso de amparo núm. 4503-2012,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el Auto de 1 de marzo de 2012 dictado por la Sección Primera de la Sala de lo Contencioso-Administrativo del Tribunal Supremo en el recurso de casación núm. 4824-2011 interpuesto contra Sentencia de 29 de junio de 2011 dictada por la Sección Sexta de la Sala de lo Contencioso-Administrativo de la Audiencia Nacional en recurso 578-2010.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27 de septiembre de 2013 el Magistrado don Juan José González Rivas comunicó a los efectos oportunos que se abstenía de intervenir en el antes indicado recurso de amparo, de conformidad con el art. 80 de la Ley Orgánica del Tribunal Constitucional, por haber formado parte de la Sección Primera de la Sala de lo Contencioso-Administrativo del Tribunal Supremo que dictó el Auto de 1 de marzo de 2012, resolución impugnada en el presente recurso de amparo núm. 4503-2012.</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de lo Contencioso-Administrativo del Tribunal Supremo que dictó el Auto de 1 de marzo de 2012 en el recurso de casación núm. 4824-2011, que ha sido impugnado en el presente recurso de amparo núm. 4503-2012.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José González Rivas en el recurso de amparo núm. 4503-2012,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