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Santiago Martínez-Vares García en el recurso de amparo avocado núm. 210-2013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enero de 2013, el Procurador de los Tribunales don Alejandro González Salinas, en nombre y representación de la asociación de padres de alumnos Torrevelo, del colegio homónimo, con la asistencia del Letrado don Valeriano Hernández-Tavera Martín, interpuso demanda de amparo contra las resoluciones de la Consejería de Educación y del Consejo de Gobierno de Cantabria de 14 de abril y 13 de agosto de 2009; contra la Sentencia de 22 de junio de 2011 de la Sección Primera de la Sala de lo Contencioso-Administrativo del Tribunal Superior de Justicia de Cantabria, dictada en el procedimiento ordinario núm. 545-2009; y contra la Sentencia y el Auto dictados el 23 de julio y el 29 de noviembre de 2012, respectivamente, por la Sección Cuarta de la Sala de lo Contencioso-Administrativo del Tribunal Supremo en el recurso de casación núm. 4591-2011.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del Tribunal Constitucional, por providencia de 6 de mayo de 2013, acordó admitir la demanda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18 de septiembre de 2013 el Magistrado don Santiago Martínez-Vares García comunicó su voluntad de abstenerse en el conocimiento del presente recurso de amparo por entender que concurría la causa 11 del art. 219 de la Ley Orgánica del Poder Judicial, en relación con el art. 80 de la Ley Orgánica del Tribunal Constitucional (LOTC), por haber formado parte, en su condición de Magistrado de la Sala de lo Contencioso-Administrativo del Tribunal Supremo, de la Sala y Sección que resolvió el recurso de casación núm. 4591-2011, en que se dictaron la Sentencia de 23 de julio y el Auto de 29 de noviembre de 2012, resoluciones judiciales impugnadas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24 de septiembre de 2013, conforme a lo establecido en el art. 10 n) LOTC, a propuesta de tres Magistrados, acordó recabar para sí el conocimiento del presente recurso de amparo. En la adopción de esta decisión no tomó parte el Magistrado don Santiago Martínez-Vares García, de acuerdo con lo manifestado en el referido escrito por el que comunicaba su voluntad de abstenerse.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el Magistrado don Santiago Martínez-Vares García, en virtud de lo previsto en los arts. 80 de la Ley Orgánica del Tribunal Constitucional y 221.4 de la Ley Orgánica del Poder Judicial, se estima justificada la causa de abstención formulada, puesto que el mencionado Magistrado, en atención a haber formado parte del órgano judicial que resolvió el recurso de casación mediante Sentencia impugnada en este recurso de amparo —así como el posterior incidente de nulidad promovido contra dicha Sentencia y resuelto por Auto igualmente impugnado en este recurso de amparo— está incurso en la causa 11 del art. 219 de la Ley Orgánica del Poder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Santiago Martínez-Vares García en el recurso de amparo avocado núm. 210-2013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