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162-2012, promovido por don José María González Vidal, representado por la Procuradora de los Tribunales doña María Isabel Torres Ruíz y asistido por el Abogado don Manuel Morales Morales, contra la Sentencia de la Sección Primera de la Audiencia Provincial de Sevilla de 29 de junio de 2011, dictada en el recurso de apelación 2561-2011, y contra el Auto de 2 de noviembre de 2011 que desestimó el incidente de nulidad de actuaciones, Sentencia que condenó al demandante como autor de un delito de robo con intimidación y uso de instrumentos peligrosos, con la concurrencia de las agravantes de disfraz y abuso de confianza, a la pena de cuatro años y seis meses de prisión. Han intervenido el Ministerio Fiscal, don Luis Canales Castillo y Distribuidora Internacional de Alimentos, S.A.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enero de 2012, don José María González Vidal, representado por la Procuradora de los Tribunales doña María Isabel Torres Ruíz y asistido por el Letrado don Manuel Morales Morales, se interpuso recurso de amparo contra las resoluciones judiciales que se citan en el encabezamiento. Por otrosí se solicitó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lo Penal núm. 1 de Sevilla, por Sentencia de 27 de septiembre de 2010, recaída en el procedimiento abreviado núm. 160-2010, absolvió al demandante y a otros dos acusados del delito de robo con intimidación por el que fueron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relato de hechos probados de la Sentencia hace referencia al atraco ocurrido en un supermercado, sin que tuvieran participación en el mismo, se afirma, el demandante, quien trabajaba como vigilante de seguridad, ni los otros dos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se valoran las pruebas practicadas y se deja constancia de la inexistencia de prueba directa ni indiciaria que permitiera atribuir la autoría del delito a los acusados. Las pruebas objeto de valoración fueron: la testifical de las personas empleadas en el supermercado al ocurrir los hechos, quienes no identificaron a los otros dos acusados como autores materiales del delito, sin que tampoco aportaran datos que permitieran afirmar la participación del demandante; el resultado de las diligencias de entrada y registro en los domicilios de los otros dos acusados; el interrogatorio de los acusados en el acto del juicio oral; la prueba documental consistente en los informes de las compañías de telefonía móvil, valorados en el acto del juicio a través de los interrogatorios de los acusados y testigos, así como por la testifical de los agentes de policía nacional que intervinieron en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acusación particular presentó recurso de apelación, al que se adhirió el Ministerio Fiscal, ante la Sección Primera de la Audiencia Provincial, con señalamiento de vista a la que fueron convocados el Ministerio Fiscal y las partes personadas, a través de su representación procesal, vista a la que asistieron exclusivamente el Ministerio Fiscal y los Letrados, recurso estimado por Sentencia de 29 de junio de 2011 y que condenó a los acusados como autores de un delito de robo con intimidación y uso de instrumentos peligrosos, con la agravante de disfraz y de abuso de confianza en el demandante, a quien se impuso la pena de cuatro años y seis meses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apelación modificó íntegramente el relato de hechos probados de la Sentencia de instancia, con descripción del modo en que los otros dos acusados entraron armados en un supermercado, cubiertos con pasamontañas y cascos de motorista, y tras amenazar a las empleadas y al demandante, vigilante de seguridad en el local, se apoderaron de la recaudación y de los teléfonos móviles de los empleados, lugar del que se ausentaron en una moto, relato que identifica a los otros dos acusados como autores materiales y al demandante como cooperador necesario, al facilitar el acceso al establecimiento y la información necesaria, al considerar existente prueba directa de la participación de los acusados en el delito por la confesión del demandante ante la policía, asistido por Letrado, con cita de los folios en los que el demandante relató los hechos, sin otorgar verosimilitud a la retractación hecha ante el Juzgado por supuestas amenazas, retractación que se afirma insostenible, prueba a la que se añaden otras de carácter periférico y que son; la indicación realizada por la fuerza instructora, con cita del folio 1 del atestado, respecto del modo en que el demandante manifestó se ausentaron del lugar los asaltantes, una moto de color negro; los objetos encontrados en los registros domiciliarios de los otros dos acusados, que en el nuevo relato de hechos probados se afirman utilizados para la comisión del delito (un arma de fuego, dos pasamontañas, la moto y dos chaquetones negros); la llamada de teléfono realizada desde el móvil del demandante al móvil de su esposa, media hora después de ocurrir los hechos, llamada que no hubiera sido posible realizar si el teléfono hubiera sido robado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formuló incidente de nulidad de actuaciones por infracción del derecho a un proceso con todas las garantías y del derecho a la presunción de inocencia, al valorar prueba personal practicada en primera instancia con infracción de los principios de inmediación y contradicción, prueba consistente en las declaraciones prestadas por el demandante tanto en sede policial como judicial, y que no fue practicada en la vista de apelación, prueba que se afirma invalida para desvirtuar la presunción de inocencia. El incidente fue desestimado por Auto de 2 de noviembre de 2011, al haber sido citados los acusados absueltos para asistir a la vista oral del recurso de apelación, circunstancia excluyente de indefensión, y ser fundamento de la revocación el error de valoración en que incurrió el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los derechos a un proceso con todas las garantías y a la presunción de inocencia (art. 24.2 CE), con cita de la doctrina de este Tribunal iniciada por la STC 167/2002, de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 contenido a la primera vulneración la modificación del relato de hechos probados con nueva valoración de pruebas personales sin inmediación y contradicción en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se justifica con la escasa y deficiente motivación de la valoración de la prueba por parte del Tribunal de apelación, sin que exista prueba directa de la participación del demandante en el delito y ser irrazonable la inferencia extraída por medio de prueba indiciaria.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2013, la Sala Segunda de este Tribunal acordó, de conformidad con lo dispuesto en el art. 11.2 de la Ley Orgánica del Tribunal Constitucional (LOTC), conocer del recurso de amparo y admitir a trámite la demanda. En la providencia se acordó, en aplicación de lo dispuesto en el art. 51 LOTC, dirigir atenta comunicación al Juzgado de lo Penal núm. 1 de Sevilla para emplazar a quienes hubieran sido parte en el proceso para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idéntica fecha se acordó la formación de pieza separada de suspensión. La Sala Segunda, por Auto de 27 de febrero de 2013, acordó suspender la ejecución de la pena privativa de libertad de cuatro años y seis meses de prisión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 la Secretaría de la Sala Segunda de este Tribunal, de 29 de mayo de 2013 y 11 de julio de 2013, se tuvo por personada y parte, respectivamente, a la Procuradora doña Matilde Marín Jerez en nombre y representación de don Luis Canales Castillo, y al Procurador don Ismael Belhadj-Ben Gómez en nombre y representación de Distribuidora Internacional de Alimentos, S.A. (DIA). En las mismas diligencias se acordó dar vista de las actuaciones a las partes personadas y al Ministerio Fiscal, por plazo común de veinte días, para presentar las alegaciones que estimasen pertinentes, de conformidad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don Luis Canales Castillo, quien también fue condenado como autor del delito, presentó sus alegaciones por escrito registrado el 18 de junio de 2013, interesando la estimación del recurso y el otorgamiento de amparo a la parte personada al haber sido también vulnerado su derecho; a la tutela judicial efectiva (art. 24.1 CE), al no haber sido citado a la vista celebrada en apelación, circunstancia por la que su condena se hizo sin audiencia a través del derecho a la última palabra; a la presunción de inocencia (art. 24.2 CE), al dar contenido al pronunciamiento de condena la declaración de coimputado en sede policial, rectificada en sede judicial; a un proceso con todas las garantías (art. 24.2 CE), al realizar el Tribunal en la Sentencia de apelación nueva valoración de prueba personal contraviniendo la doctrina de la STC 167/2002.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de alegación mediante escrito presentado en el Registro General de este Tribunal el 1 de julio de 2013, solicitando la estimación del recurso por vulneración del derecho a un proceso con todas las garantías y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concurrir la primera vulneración al modificar la Sentencia de apelación el relato de hechos probados mediante nueva valoración de pruebas personales practicadas en la instancia, pruebas no realizadas ante el Tribunal de apelación, y también por no haber dado audiencia personal al demandante en la vista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exclusión de las pruebas personales valoradas de forma indebida, excluye que la Sentencia condenatoria recurrida base su pronunciamiento en actividad probatoria válida y suficiente para desvirtuar la presunción de inocencia, derecho también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presentó escrito el 3 de julio de 2013, en el que reiteró los motivos de amparo contenidos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DIA, S.A., acusación particular en el procedimiento penal, presentó sus alegaciones por escrito registrado el 12 de septiembre de 2013,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razona que la Audiencia Provincial no ha efectuado una nueva valoración de prueba personal practicada en la instancia, al limitar su revisión a la prueba documental valorada de forma errónea por el Tribunal de instancia, circunstancia que no hacía necesaria la audiencia del demandante en apelación y que excluye la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noviembre de 2013, se señaló para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Sección Primera de la Audiencia Provincial de Sevilla, de 29 de junio de 2011, dictada en el recurso de apelación núm. 2561-2011, que condenó al demandante, tras celebrar vista en apelación, como autor de un delito de robo con intimidación del que había sido absuelto por el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considera vulnerado el derecho a un proceso con todas las garantías (art. 24.2 CE), porque la Audiencia Provincial modificó el relato de hechos probados de la Sentencia absolutoria con nueva valoración de las pruebas personales practicadas en el juicio oral, valoración realizada sin inmediación, por cuanto a la vista señalada en el recurso de apelación tan solo comparecieron los letrados de las partes personadas, y el derecho a la presunción de inocencia (art. 24.2 CE) por la escasa y deficiente motivación de la valoración de la prueba, sin que exista prueba directa de la participación del demandante en el delito y ser irrazonable la inferencia extraída de la prueba indiciaria.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apoya las pretensiones del demandante y solicita el otorgamiento del amparo por vulneración de los citados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recordar la doctrina de este Tribunal que excluye la posibilidad de acceder a la pretensión formulada por la parte personada de extender los efectos de un eventual otorgamiento del amparo a la nulidad de su condena dictada en la Sentencia que se recurre, por cuanto quien se persona en el proceso constitucional de amparo, a tenor del art. 51.2 de la Ley Orgánica del Tribunal Constitucional, una vez admitido a trámite el recurso, no se convierte en codemandante que pueda pedir la reparación o la preservación de sus propios derechos fundamentales; lo contrario implicaría la admisión de recursos de amparo formulados de manera extemporánea o sin cumplir los presupuestos procesales de admisibilidad, por cuanto “quienes no interpusieron recurso de amparo dentro del plazo legal, lo hicieron en términos inadmisibles o, como acontece en el presente caso, han visto inadmitidos los recursos de amparo que en su momento interpusieron,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(por todas, STC 22/2013,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cuestiones suscitadas en este recurso de amparo, derecho a un proceso con todas las garantías (art. 24.2 CE), ha sido objeto de tratamiento en múltiples ocasiones por este Tribunal, que ha establecido a través de sus pronunciamientos un cuerpo de doctrina estable cuyo origen se encuentra en la STC 167/2002, de 18 de septiembre, doctrina conforme a la cual “el respeto a los principios de publicidad, inmediación y contradicción, que forman parte del contenido del derecho fundamental invocado, impone inexorablemente que toda condena articulada sobre pruebas personales se fundamente en una actividad probatoria que el órgano judicial haya examinado directa y personalmente en un debate público, en el que se respete la posibilidad de contradicción. Por lo que hemos razonado que el órgano de apelación no puede operar una modificación de los hechos probados de la Sentencia de instancia que conduzca a la condena del acusado si tal modificación no viene precedida del examen directo y personal de los acusados y testigos en un debate público en el que se respete la posibilidad de contradicción (SSTC 60/2008, de 26 de mayo, FJ 5 y 188/2009, de 7 de septiembre, FJ 2)” (por todas, STC 43/2013,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nuestra doctrina debemos señalar que el enjuiciamiento constitucional del respeto a la garantía de inmediación, dentro del derecho a un proceso con todas las garantías (art. 24.2 CE), está condicionado a los hechos objeto de debate y al modo en que el Tribunal de apelación llevó a cabo la revisión del pronunciamiento absolutorio, sin que quepa adelantar soluciones rígidas o estereotipadas.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modificó íntegramente el relato de hechos probados de la Sentencia de instancia, modificación que se justifica, de forma escueta y sucinta, con referencia al contenido del atestado policial, al otorgar valor como prueba directa a la declaración del demandante, con remisión a los folios 243 y siguientes del atestado, y a la indicación realizada por la fuerza instructora, con cita del folio 1 del atestado, respecto del modo en que el demandante manifestó se ausentaron del lugar los otros dos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valor probatorio así atribuido al contenido del atestado policial está en contradicción con doctrina reiterada de este Tribunal que tan solo otorga al atestado valor de denuncia, por lo que en sí mismo considerado se erige en objeto y no en medio de prueba, circunstancia por la que “los hechos que en él se afirman por funcionarios, testigos o imputados han de ser introducidos en el juicio oral a través de auténticos medios probatorios” [por todas, STC 68/2010, de 18 de octubre, FJ 5 b)], como así hizo el Magistrado del Juzgado de lo Penal al valorar en el acto del juicio oral, mediante el testimonio del demandante, las contradicciones existentes entre su declaración policial y la realizada a presencia judicial, prueba personal que fue valorada también por el Tribunal de apelación, al no otorgar verosimilitud a la retractación en sede judicial, valoración que infringe el contenido constitucional de la garantía de inmediación como límite para la revisión de la valoración de la prueba por el órgano llamado a decidir el recurso de apelación, límite que no permite revisar la valoración de las pruebas practicadas en primera instancia cuando por la índole de las mismas sea exigible la inmediación y contradicción, como así ocurre con la valoración de las pruebas personales, que sólo podrá realizar el órgano judicial ante el que se practicaron aquellas, sin que pueda entenderse superado ese límite en la vista celebrada ante el Tribunal de apelación al no haber sido practicadas en dicho acto nuevas pruebas (por todas, STC 48/2008, de 11 de marzo, FJ 4), vista a la que fueron citadas exclusivamente las representaciones procesales de las partes y a la que tan solo asistieron los letrados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recurrida refiere también como prueba el resultado de una llamada de teléfono, que permite inferir al Tribunal de apelación que los asaltantes no sustrajeron al demandante su teléfono móvil, referencia aislada que no concreta el origen probatorio de la afirmación y que está en contradicción con la extensa valoración realizada por la Sentencia de instancia, cuyo fundamento jurídico segundo analiza el valor como prueba indiciaria del resultado de la investigación policial iniciada respecto de los teléfonos móviles que fueron sustraídos a las cajeras del establecimiento y al demandante, investigación autorizada judicialmente, y que tuvo como resultado la documental integrada por los informes de las compañías de telefonía móvil y los informes policiales con los resultados de la investigación, resultados que la Sentencia de instancia consideró válidamente incorporados al acto del juicio oral y sometidos a contradicción, tanto por las preguntas realizadas a los acusados y los testigos, como por la declaración testifical de los policías nacionales 80.929 y 61.415, instructor y jefe de grupo que expusieron la investigación realizada y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se pudiera asumir que la inferencia explicitada en la Sentencia trajera causa de prueba documental, supuesto que la doctrina de este Tribunal excluye del ámbito de protección de la garantía de inmediación en la segunda instancia penal, al ser posible su valoración sin necesidad de reproducción del debate procesal (por todas, STC 105/2013, de 6 de mayo, FJ 8), el resultado documental de la investigación policial y de los oficios remitidos por las operadoras de telefonía móvil está conectado con los testimonios de las pruebas personales que luego se desarrollaron en el plenario, como refleja la Sentencia de instancia, “no pudiéndose disociar en la forma en que se ha hecho por la Sala unos elementos de otros, pues ello supone una desnaturalización del contenido de la doctrina emanada de la STC 167/2002, al ponderarse así con esta fórmula de manera indirecta por el órgano de apelación pruebas de carácter personal sin las debidas garantías constitucionales y otorgarse por el mismo una preminencia al contenido de las declaraciones documentadas sobre los propios testimonios personales, practicados en el momento cumbre del proceso penal respetando los principios de inmediación y contradicción” (STC 120/2013, de 20 de mayo, FJ 4), circunstancia que permite concluir que la inferencia explicitada en la Sentencia recurrida también vulneró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que la Sección Primera de la Audiencia Provincial de Sevilla ha vulnerado con su Sentencia el derecho a un proceso con todas las garantías del demandante, al ser condenado como autor de un delito del que había sido previamente absuelto y modificar el relato de hechos probados de la Sentencia de instancia mediante valoración de pruebas personales sin respetar las garantías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vulneración del derecho a un proceso con todas las garantías (art. 24.2 CE) determinará también la del derecho a la presunción de inocencia (art. 24.2 CE), si al eliminar las pruebas valoradas sin la debida inmediación, el relato de hechos probados no tiene contenido suficiente que permita sustentar la declaración de culpabilidad del acusado, bien cuando la prueba personal eliminada sea la única tenida en cuenta por la resolución impugnada, o cuando dicha prueba fue esencial para llegar a la conclusión fáctica incriminatoria, de modo que con su exclusión la inferencia en dicha conclusión devenga ilógica o no concluyente a partir de los presupuestos de la propia Sentencia (por todas, STC 126/2012, de 18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excluidas las pruebas personales valoradas sin inmediación por el Tribunal de apelación, tan solo quedaría como prueba susceptible de valoración la relativa al resultado de las diligencias de entrada y registro en los domicilios de los otros dos acusados, en las que fueron encontrados un arma de fuego, dos pasamontañas, la moto y dos chaquetones negros, prueba que conforme manifiesta el Ministerio Fiscal tan solo acredita de forma indubitada la existencia de los objetos en los domicilios de los otros dos acusados, sin conexión alguna que permita inferir juicio autónomo de culpabilidad respecto del demandante, desconectado de las otras pruebas personales excluidas que en definitiva fueron esenciales para la modificación del relato de hechos probados, circunstancia que lleva a considerar también vulnerado el derecho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María González Vidal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los derechos a un proceso con todas las garantías (art. 24.2 CE) y a la presunción de inocencia (art. 24.2 CE) del recurrente.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dictada por la Sección Primera de la Audiencia Provincial de Sevilla el día 29 de junio de 2011, en el recurso de apelación 2561-2011, y el Auto de 2 de noviembre de 2011 que desestimó el incidente de nulidad de actuaciones, exclusivamente en lo referido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