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Ignacio Ortega Álvarez, 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5697-2013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5697-2013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4 de octubre de 2013, el Procurador de los Tribunales don Javier Cuevas Rivas, en nombre y representación de don Raúl Alonso Álvarez, presentó recurso de amparo contra el Auto de 23 de mayo de 2013 de la Sala de lo Penal del Tribunal Supremo que acuerda no haber lugar a la admisión del recurso de casación interpuesto frente al Auto dictado el 13 de diciembre de 2012 por el Pleno de la Sala de lo Penal de la Audiencia Nacional en el rollo de Sala núm. 23-1993, ejecutoria núm. 47-1997, sobre liquidación de condena del recurrente, fijando como fecha de licenciamiento el 28 de mayo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lo dispuesto en el art. 88 de la Ley Orgánica del Tribunal Constitucional (LOTC), el Secretario de Justicia de la Sala Primera de este Tribunal, por diligencia de ordenación de 5 de febrero de 2014, requirió atentamente a la Sala de lo Penal de la Audiencia Nacional y a la Sala de lo Penal del Tribunal Supremo para que en el plazo de diez días remitieran, respectivamente, testimonio de las actuaciones seguidas en la ejecutoria núm. 47-1997, dimanante del rollo de Sala núm. 23-1993, y del recurso de casación núm. 10204-2013.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5 de mayo de 2014, la Sección Segunda acordó tener por recibidos los testimonios de actuaciones remitidos por la Sala de lo Penal del Tribunal Supremo y la Sala de lo Penal de la Audiencia Nacional y, de conformidad con el art. 84 LOTC, conceder un plazo de diez días al Ministerio Fiscal y a la representación procesal del recurrente para que alegaran lo que estimaran conveniente sobre la perdida de objeto del presente recurso, a la vista de la providencia dictada el 12 de febrero de 2014 por la Sección Tercera de la Sala de lo Penal de la Audiencia Nacional en la ejecutoria núm. 47-1997, por la que se aprueba nueva liquidación de condena del recurrente, fijando como fecha de licenciamiento el 25 de marzo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2 de junio de 2014, consideró que procede declarar la pérdida sobrevenida de objeto en el presente recurso. A diferencia de otros casos similares en los que este Tribunal ha declarado la extinción del recurso por pérdida de objeto (AATC 22/2014, 32/2014, 78/2014 y 91/2014, entre otros) en este caso la nueva liquidación de condena aprobada por la Audiencia Nacional no supone la puesta en libertad del recurrente. Procedería también aquí declarar la extinción del recurso por desaparición sobrevenida de objeto, dado que la nueva liquidación de condena, aprobada por la providencia de la Audiencia Nacional de 12 de febrero de 2014, establece como fecha de licenciamiento definitivo del recurrente el 25 de marzo de 2015, como consecuencia de descontar las redenciones del tope máximo de cumplimiento de treinta años. Deja así sin efecto las resoluciones anteriores recurridas en amparo, que fijaban como fecha de licenciamiento el 28 de mayo de 2021, al no descontar las redenciones de ese límite máximo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en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de la Ley Orgánica del Tribunal Constitucional (LOTC), ha sido admitida por este Tribunal como forma de terminación de los distintos procesos constitucionales.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En tales supuestos, la demanda de amparo deja de tener objeto, toda vez que la reparación de la lesión del derecho fundamental por los propios órganos judiciales, antes de que este Tribunal dicte su decisión, priva de sentido pronunciarse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las actuaciones se desprende que por providencia de 12 de febrero de 2014 de la Sección Tercera de la Sala de lo Penal de la Audiencia Nacional (ejecutoria núm. 47-1997) se resolvió, como en otros casos similares, hacer extensiva la aplicación de la Sentencia del Tribunal Europeo de Derechos Humanos de 21 de octubre de 2013, caso Inés del Río c. España, al supuesto del demandante de amparo. En consecuencia se tomó como referencia el tope máximo de cumplimiento de treinta años, para, a partir del mismo, realizar los descuentos correspondientes por redenciones, aprobando en consecuencia una nueva liquidación de condena que supone fijar como fecha de licenciamiento del recurrente el día 25 de marzo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advierte el Ministerio Fiscal, en este caso la liquidación de condena aprobada por la Audiencia Nacional por providencia de 12 de febrero de 2014 no conlleva la inmediata puesta en libertad del recurrente (a diferencia de lo que sucede en otros casos similares en los que este Tribunal ha declarado la extinción del recurso por pérdida de objeto: AATC 22/2014, 32/2014, 78/2014, 91/2014, y 98/2014, entre otros). Procede sin embargo declarar la extinción del recurso por desaparición sobrevenida de objeto, toda vez que la nueva liquidación de condena establece como fecha de licenciamiento definitivo el 25 de marzo de 2015, tras descontar las redenciones del tope máximo de cumplimiento de treinta años, que es precisamente lo que pretendía el recurrente en su demanda de amparo. Dejando así sin efecto las resoluciones impugnadas en amparo, que fijaban como fecha de licenciamiento el 28 de mayo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 dispuesto en los arts. 80 y 86.1 LOTC, en relación con el art. 22 de la Ley de enjuiciamiento civil, procede pues declarar la perdida de objeto del presente recurso de amparo; la continuación del mismo no satisface ningún interés, por haberse dejado sin efecto el acto lesivo al reconocerse en la referida providencia de 12 de febrero de 2014 como fecha de extinción de la condena del recurrente el 25 de marzo de 2015, sin que conste que dicha resolución judicial haya sido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