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3225-2012, promovido por don Antonio Cabello Pérez, representado por el Procurador de los Tribunales don Javier Cuevas Rivas y asistido por la Letrada doña Atxarte Salvador Navarro, contra el Auto de la Sección Segunda de la Sala de lo Penal de la Audiencia Nacional de 14 de octubre de 2010 dictado en la ejecutoria núm. 77-1995, contra el Auto de la misma Sala de 14 de enero de 2011 que desestimó el recurso de súplica interpuesto contra el anterior, contra la Sentencia de la Sala Segunda del Tribunal Supremo de 22 de noviembre de 2011 que resolvió el recurso de casación núm. 10178-2011 presentado contra las anteriores resoluciones, y contra el Auto de 27 de marzo de 2012 que desestimó el incidente de nulidad promovido frente a la indicada Sentencia. Han intervenido el Ministerio Fiscal y la Asociación de Víctimas del Terrorismo, representada por la Procuradora de los Tribunales doña María Esperanza Álvaro Mateo y asistida por el Letrado don Antonio Guerrero Maroto.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31 de mayo de 2012 el Procurador de los Tribunales don Javier Cuevas Rivas, actuando en nombre y representación de don Antonio Cabello Pérez,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lugar a su recurso son, sintéticamente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 diversos procedimientos seguidos ante la Sala de lo Penal de la Audiencia Nacional el demandante fue condenado a las siguientes penas privativas de libertad, únicas que a este recurso interesan: (i) diez años de prisión mayor en Sentencia de la Sección Tercera de 27 de mayo de 1992, rollo de Sala 56-1990, dimanante del sumario 48-1990 del Juzgado Central de Instrucción núm. 4; (ii) seis años y un día de prisión mayor, un año de prisión menor, ocho años y un día de prisión mayor y veintiocho años de reclusión mayor en Sentencia de la Sección Primera de 21 de julio de 1992, rollo de Sala 18-1988, sumario 18-1988 del Juzgado Central de Instrucción núm. 1; (iii) veinte años de reclusión menor en Sentencia de la Sección Segunda de 11 de febrero de 1993, dictada en el rollo de Sala 44-1991 derivado del sumario 35-1991 del Juzgado Central de Instrucción núm. 2; (iv) cinco años de prisión menor y diez años y un día de prisión mayor en Sentencia de la Sección Segunda de 30 de noviembre de 1993, rollo de Sala 7-1988, resultante del sumario 7-1988 del Juzgado Central de Instrucción núm. 2; (v) diecisiete años de reclusión menor y once años de prisión mayor en Sentencia de la Sección Segunda de 31 de enero de 1994, dictada en el rollo de Sala 27-1991, derivado del sumario 21-1991 del Juzgado Central de Instrucción núm. 2; (vi) trece años de reclusión menor en Sentencia de la Sección Segunda de 1 de febrero de 1994, rollo de Sala 24-1991, procedente del sumario 18-1991 del Juzgado Central de Instrucción núm. 2; y, finalmente, (vii) cinco penas de doce, once y once años de prisión mayor, cinco años de prisión menor y cinco meses de arresto mayor que le fueron impuestas en Sentencia de la Sección Segunda de 9 de junio de 1995, dictada en el rollo de Sala 32-1993 y procedente del sumario 14-1993 del Juzgado Central de Instrucción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Sección Segunda de la Sala de lo Penal de la Audiencia Nacional de 1 de abril de 1997, dictado en la ejecutoria 77-1995 a que dio lugar esta última Sentencia, se acordó refundir todas las anteriores condenas y fijar en treinta años el límite máximo de cumplimiento, en aplicación del art. 70.2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ante la Audiencia Nacional el 30 de junio de 2010, la representación del recurrente solicitó una nueva liquidación de condena al entender que de conformidad con el art. 58 del Código penal de 1995, interpretado de acuerdo con la doctrina sentada en las SSTC 19/1999, de 22 de febrero, 71/2000, de 13 de marzo, y 57/2008, de 28 de abril, se le debía abonar el período de prisión preventiva sufrido “en las diferentes causas a las que ha estado sujeto y en su defecto desde el 21 de julio de 1992 hasta el 9 de septiembre de 1995”, periodo de tiempo en el que, afirma, “ha compartido su situación de prisión provisional con la de cumplimiento” de penas impuestas en anteriores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Segunda de la Sala de lo Penal de la Audiencia Nacional denegó lo solicitado por Auto de 14 de octubre de 2010, que comienza advirtiendo que no considera de aplicación al caso el art. 58 del Código penal, ni tampoco la doctrina de la STC 57/2008 invocada por la parte, pues lo que se somete a revisión es la fijación del límite máximo de cumplimiento efectivo de varias penas refundidas, y no el abono del periodo de tiempo en que el recurrente estuvo privado provisionalmente de libertad en la pena impuesta en la misma causa, que fue el caso resuelto en aquella Sentencia constitucional. Aclara acto seguido que ese límite máximo de cumplimiento no es una nueva pena, y que por tanto los beneficios o reducciones a que tenga derecho el penado no deben aplicarse sobre ese límite máximo, sino sobre cada una de las penas refundidas. Y concluye entonces que si aplicados esos beneficios o reducciones sobre cada pena la suma de todas ellas sigue siendo superior a treinta años, no procede hacer una nueva liquidación. Aplicando las anteriores reflexiones al concreto caso del recurrente, explica que la suma total de las penas a las que ha sido condenado es tan elevada —tomando dos de esas condenas “a efectos meramente dialécticos” constata ya que las penas impuestas en ellas suman por si solas más de cincuenta y siete años de prisión— que ni aun descontando los diferentes periodos de privación provisional de libertad podría situarse esa suma total por debajo de treinta años. Razón por la cual, remata, no es procedente acceder a la práctica de una nueva liquidación. Interpuesto recurso de súplica contra la anterior resolución, el mismo fue desestimado por nuevo Auto de 14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resolución interpuso el actor recurso de casación defendiendo, en síntesis, que durante determinados períodos de tiempo había estado en situación de penado y de preso preventivo, o de preso preventivo en diferentes causas, por lo que de acuerdo con la jurisprudencia constitucional y del propio Tribunal Supremo se le debían computar los indicados periodos de tiempo descontándolos del límite máximo de cumplimiento resultante de la acumulación de condenas. Dicho recurso fue parcialmente estimado por Sentencia de la Sala Segunda del Tribunal Supremo de 22 de noviembre de 2011. Acepta el Tribunal Supremo la naturaleza del límite máximo de cumplimiento de la condena resultante de los arts. 70.2 del Código penal de 1973 —art. 76 del Código penal vigente— ya expuesta por la Audiencia Nacional; acepta también, por ello, la inaplicación al caso de la STC 57/2008 que ya había declarado igualmente la Audiencia Nacional; y asume igualmente, por último, el hecho de que las penas privativas de libertad impuestas al recurrente alcanzan tan elevada cuantía que aunque se aplicaran varios periodos de superposición de cumplimiento de pena y de medida cautelar no habría margen para que se redujera el tiempo máximo de cumplimiento de treinta años. De manera que, concluye, el “interés impugnatorio” de la parte “tiene necesariamente que decaer en lo que se refiere al periodo máximo de cumplimiento”. Ahora bien, matiza, “dejando a un lado la cuestión de que el tiempo máximo de condena no ha de sufrir modificaciones en este caso, también es claro que, a tenor de lo argumentado en la Sentencia de esta Sala 197/2006, de 23 de febrero, el penado tiene derecho a que se le liquiden individualmente cada una de las condenas que ha de cumplir sucesivamente y, por lo tanto, debe especificársele cuál es el periodo de prisión provisional que se le computa al recurrente a efectos de cumplimiento. De modo que, tal como se desprende de las sentencias ut supra citadas, puede solicitar una nueva liquidación de condena con el fin de saber el periodo de cumplimiento en cada una de las causas en que pudiera operar la STC 57/2008, aunque ello, insistimos, no afecte en principio al periodo máximo fijado en el auto de la Audiencia Nacional. Se trata de que conozca el tiempo concreto que se le computa como cumplido y el que le queda por cumplir en cada una de las causas hasta alcanzar el límite de los treinta años”. Lo que le lleva a estimar parcialmente el recurso de casación interpuesto, a anular en parte los Autos de la Audiencia Nacional recurridos y a ordenar una nueva liquidación de condena al penado en la que deberá restarse, en su caso, el periodo de prisión provisional sufrido en las causas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Sentencia promovió la actora incidente de nulidad de actuaciones sosteniendo que vulneraba el derecho a la libertad (art. 17.1 CE), a la tutela judicial efectiva por no respetar la intangibilidad de resoluciones judiciales firmes (art. 24.1 CE) y a la legalidad sancionadora (art. 25.1 y 2 CE). Siendo dicho incidente desestimado por Auto de 27 de marzo de 2012, en el que se entendió que la cuestión suscitada ya fue planteada en el recurso de casación y resuelta razonadamente en la Sentencia dictada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mismos derechos sirven de apoyo a la demanda de amparo que ha dado lugar a este proceso constitucional. Se defiende en ella, en primer lugar (motivos primero y séptimo), que el abono de los periodos en que el recurrente simultaneó la situación de penado y preso preventivo (según su versión, del 21 de julio de 1992 al 9 de septiembre de 1995, al cual ciñe su recurso), denegado por las resoluciones judiciales recurridas, viene impuesto por el art. 58 del Código penal y por la interpretación que del mismo han efectuado tanto este Tribunal, en sus SSTC 19/1999, 71/2000 y 57/2008, como el Tribunal Supremo en numerosas resoluciones. Siendo por tanto obligado de acuerdo con aquella norma tener en cuenta los referidos periodos de tiempo a los efectos de la liberación definitiva del recurrente aplicándolos así sobre el límite máximo de treinta años fijado por la Audiencia Nacional. Al no hacerlo así, concluye el recurrente, las resoluciones judiciales han interferido de manera directa en el tiempo a permanecer en prisión vulnerando con ello su derecho fundamental a la libertad garantizado en el art. 17.1 CE, y de ahí la relevancia constitucional de su recurso. Añade además (segundo motivo de amparo) que las citadas resoluciones han vulnerado su derecho a la tutela judicial efectiva del art. 24.1 CE por no respetar la intangibilidad de las resoluciones judiciales firmes, señalando como tales —y por consiguiente como infringidas— los Autos de la Audiencia Nacional de 23 de diciembre de 1996, en el que se acordó no haber lugar a la revisión de la Sentencia dictada en la ejecutoria 77-1995, y de 1 de abril de 1997, en el que se fijó el indicado límite de treinta años de cumplimiento efectivo. La forma de liquidar la condena, vendría a argumentar el recurrente, ya había sido establecida por la Audiencia en los citados Autos, y por consiguiente no podía ser modificada posteriormente por las resoluciones que aquí se recurren. En tercer lugar, denuncia que la interpretación que hacen esas resoluciones judiciales de las normas aplicables al caso (cita en particular los arts. 70.2 y 100 del Código penal de 1973) vulneran el derecho a la legalidad sancionadora del art. 25.1 CE, primero porque se trata de una interpretación manifiestamente errónea, extravagante y no ajustada a la que de manera pacífica y consolidada venía manteniendo la jurisprudencia hasta ese momento; ajena, en definitiva, a los términos de la norma aplicada (argumento desarrollado a lo largo de los motivos tercero, cuarto y quinto de amparo), y después porque considera esa misma interpretación, además, retroactiva y contra reo, por estar amparada —dice— en el art. 78 del Código penal de 1995, que no estaba vigente en la fecha de los hechos (sexto motivo de amparo). Cerrando su recurso con la invocación, como última tacha de inconstitucionalidad, del art. 25.2 CE (en particular, en el motivo tercero), pues para él las resoluciones judiciales entrañan igualmente una vulneración del derecho consagrado en ese artículo al dar lugar a una privación de derechos fundamentales del penado no expresamente prevista en “el contenido del fallo condenatorio, el sentido de la pena y la ley penitenciaria”, como exige aquel precepto y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2012, la Sala Segunda de este Tribunal acordó la admisión a trámite del recurso de amparo y, en aplicación de lo previsto en el art. 51 de la Ley Orgánica del Tribunal Constitucional (LOTC), dirigir atenta comunicación a la Sala de lo Penal del Tribunal Supremo y al servicio de ejecutorias de la Audiencia Nacional a fin de que,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día 22 de enero de 2013, la Asociación de Víctimas del Terrorismo, representada por la Procuradora de los tribunales doña María Esperanza Álvaro Mateo, solicitó que se le tuviera por personada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del Tribunal Supremo y de la Audiencia Nacional, por diligencia de ordenación de la Secretaría de la Sala Segunda de este Tribunal de 28 de febrero de 2013, se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evacuó el trámite de alegaciones mediante escrito registrado el 4 de abril de 2013, en el que reitera, resumidos, los argumentos de su demanda, y termina solicitando el otorgamiento de amparo y la anulación de las resoluciones de la Audiencia Nacional y del Tribunal Supremo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Asociación de Víctimas del Terrorismo presentó sus alegaciones por escrito registrado el 5 de abril de 2013. En él, rechaza las vulneraciones denunciadas entendiendo conforme con el art. 17.1 CE la interpretación de las normas aplicables mantenida por la Audiencia Nacional y el Tribunal Supremo en las resoluciones recurridas. Añade que los anteriores Autos de la Audiencia Nacional de 23 de diciembre de 1996 y 23 de abril de 1997 ni fijan la fecha de licenciamiento definitivo ni han sido modificadas en modo alguno por las resoluciones posteriores aquí impugnadas, por lo que tampoco resulta vulnerado el derecho a la intangibilidad de las resoluciones judiciales firmes derivado del art. 24.1 CE. Continúa denunciando la —para ella— carencia manifiesta de fundamento de las críticas en torno a la interpretación efectuada por los órganos judiciales de las normas del Código penal, pues —dice— no corresponde al Tribunal Constitucional determinar el modo en que han de realizarse las redenciones de condena, que es una cuestión de estricta legalidad ordinaria. Y termina rebatiendo que haya existido una interpretación o aplicación retroactiva de esas normas legales, con cita de la STC 66/2012, de 29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último lugar, el Fiscal ante el Tribunal Constitucional presentó sus alegaciones en fecha 19 de abril de 2013. En su escrito, tras exponer pormenorizadamente los antecedentes del caso, defiende que se ha producido una interpretación del art. 58 del Código penal de 1995 (art. 33 del Código penal de 1973) contraria al art. 17.1 CE. Y así, partiendo de la distinta finalidad, naturaleza y régimen de la prisión provisional y de la pena de prisión, establecidas ya en la STC 57/2008, entiende que la interpretación de los citados preceptos legales efectuada por la Audiencia Nacional y el Tribunal Supremo en las resoluciones recurridas, que remiten cada periodo de prisión provisional sufrido a la causa en la que se acordó y a la correspondiente condena en ella impuesta, alguna de las cuales no se cumplirán nunca por iniciarse su ejecución (sucesiva conforme determina el art. 70 del Código penal de 1973, o 76 del actualmente vigente) más allá del límite máximo de treinta años fijado por la Audiencia, hace que esos periodos de privación provisional de libertad efectivamente padecidos por el recurrente, con su régimen propio de preso preventivo y no de penado, se sustraigan sin embargo del cómputo de la condena sin ninguna cobertura legal. De donde surge la concreta afectación al derecho fundamental a la libertad del art. 17 CE que aprecia el Fiscal. Lo anterior, matiza, no significa como pretende el recurrente que el abono de los tiempos de privación provisional de libertad deba efectuarse necesariamente a partir del límite de treinta años. Ello dependerá de las concretas penas acumuladas, del orden de su respectiva gravedad que sigue su ejecución y de los periodos de prisión provisional computables en cada una de ellas. Por tanto, termina, es necesaria la práctica de una nueva liquidación de condena en la que se individualicen los periodos de privación provisional de libertad y las causas en que esas medidas cautelares se impusieron, de modo que la suma de esos periodos del tiempo de penado no exceda de treinta años. Excluyéndose siempre, eso sí, el cómputo múltiple de periodos de prisión provisional sufridos simultáneamente en varias causas, de acuerdo con la doctrina ya establecida en las SSTC 92/2012, de 7 de mayo, y 158/2012,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restantes motivos de amparo (vulneración de los arts. 24.1 y 25 CE), deben ser inadmitidos, defiende el Fiscal, pues no habiéndose invocado ni el recurso de súplica contra el inicial Auto de 14 de octubre de 2010 ni en el posterior recurso de casación contra el Auto que desestimó ese previo recurso de súplica, incumplen la exigencia del art. 44.1 c) LOTC (invocación del derecho tan pronto como haya lugar para ello). Subsidiariamente, para el caso de que no se acuerda la causa de inadmisibilidad apuntada, postula su desestimación por no existir una decisión firme e intangible sobre el sistema de cómputo del límite máximo de condena, como se propugna en la demanda en la denuncia vinculada al art. 24.1 CE, y por ser de aplicación a las denuncias vinculadas al art. 25.1 y 2 CE la doctrina contenida, entre otras, en las SSTC 39/2012, de 29 de marzo, y 54/2013,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julio de 2014, se acordó señalar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Bajo diferentes perspectivas —esencialmente, vulneración del derecho a la libertad personal del art. 17 CE, infracción del derecho a la tutela judicial efectiva del art. 24.1 por haberse contravenido resoluciones judiciales firmes anteriores, y quiebra del derecho a la legalidad penal y penitenciaria del art. 25.1 y 2 CE— el recurrente en amparo discute en este amparo constitucional la decisión de la Sección Segunda de la Sala de lo Penal de la Audiencia Nacional, confirmada luego por el Tribunal Supremo en la parte que aquí interesa, consistente en no acceder a su petición de que le sea abonado el periodo en que estuvo privado de libertad en la doble condición de preso preventivo y penado en causas distintas (concretamente, del 21 de julio de 1992 al 9 de septiembre de 1995) en el término de treinta años establecido por la propia Audiencia Nacional como límite máximo de cumplimiento efectivo de las múltiples penas privativas de libertad que le han sido impuestas, y que han quedado debidamente reseñadas en los antecedentes de esta resolución. Entiende el recurrente que la interpretación contraria, que es la que mantienen las resoluciones judiciales objeto de este recurso para las que esos periodos deben abonarse en cada una de las penas impuestas en los procesos en que se acordó la referida privación provisional de libertad y que han de cumplirse sucesivamente y por su orden de respectiva gravedad hasta llegar al indicado límite máximo de treinta años, de acuerdo con el art. 70 del Código penal (CP) de 1973 —art. 76 del Código penal de 1995—, es una interpretación contraria a los preceptos constitucionales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adentrarnos en la resolución de los distintos motivos por los que el recurrente considera esa interpretación contraria a la Norma fundamental, es menester detenerse en la causa de inadmisión planteada por el Fiscal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representante del Ministerio público que la invocación y cita de los arts. 24.1, en su vertiente de derecho a la intangibilidad de las resoluciones judiciales firmes, y 25 CE (derecho a la legalidad penal y penitenciaria), que sustenta algunos de los motivos del amparo —en concreto, los motivos segundo a sexto de la demanda, cuyas líneas argumentales han sido resumidas en el antecedente 3 de esta resolución— no se hizo tan pronto como hubo oportunidad para ello, esto es, al reaccionar contra la primera resolución judicial que desestimó su pretensión de que le fuera abonado ese periodo de privación provisional de libertad en el término de treinta años fijado ex art. 70.2 del Código penal de 1973, que fue el Auto de la Sala de lo Penal de la Audiencia Nacional de 14 de octubre de 2010. Señala el Fiscal que ni en el recurso de súplica interpuesto contra ese primer Auto ni en el posterior recurso de casación presentado ante el Tribunal Supremo puede encontrarse mención alguna a esos preceptos y derechos constitucionales. Sí se hace mención a ellos, admite, en el escrito promoviendo incidente de nulidad de actuaciones frente a la Sentencia del Tribunal Supremo que resolvió el recurso de casación antes mencionado, pero la eventual vulneración de los derechos citados se habría producido ya con ocasión de las primeras resoluciones de la Audiencia Nacional, y por tanto no se habría cumplido el presupuesto procesal de la temprana invocación establecido en el art. 44.1 c) de la Ley Orgánica del Tribunal Constitucional (LOTC), lo que debe conducir, entiende, a la inadmisión de esos concretos motivos de amparo de conformidad con lo dispuesto en el art. 50.1 a) de nuestra Ley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esta exigencia de “que se haya invocado formalmente en el proceso el derecho constitucional vulnerado, tan pronto como, una vez conocida la violación, hubiere lugar para ello” [art. 44.1 c) LOTC], este Tribunal ha reiterado su importancia para proteger el carácter subsidiario del recurso de amparo, que resultaría desvirtuado si ante la jurisdicción constitucional pudieran traerse cuestiones sobre las que previamente no se hubiese dado ocasión de pronunciarse a los órganos del Poder Judicial, que son los que de modo directo y en primer término garantizan los derechos fundamentales que la Constitución proclama, según resulta claramente del art. 53.2 CE. De este artículo, interpretado conjuntamente con el art. 44 LOTC, se desprende entonces que solamente cuando en sede ordinaria se descuide la protección del derecho puede recabarse la tutela del mismo de este Tribunal Constitucional. De ahí que aunque deba rechazarse una interpretación literal o excesivamente rigorista del requisito, que imponga la cita concreta y numérica del precepto constitucional presuntamente infringido o la mención del nomen iuris del derecho supuestamente vulnerado, sí deba al menos exigirse que se dé a los órganos de la jurisdicción ordinaria la posibilidad de pronunciarse y reparar, en su caso, la lesión constitucional posteriormente alegada ante este Tribunal. Lo contrario sería tanto como vaciar de contenido una norma cuya trascendente finalidad ya ha quedado explicitada (son exponentes de esta doctrina, entre muchas otras, las SSTC 53/2012, de 29 de marzo, FJ 2, y 201/2000,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las anteriores premisas, observamos que en este caso los recursos de súplica y casación interpuestos por la parte, que agotaron los medios de impugnación previstos dentro de la vía judicial conforme determina la exigencia del art. 44.1 a) LOTC, solamente cuestionaron la decisión inicial adoptada por la Audiencia desde la perspectiva de los arts. 17.1 (derecho a la libertad personal) y 24.1 CE (tutela judicial efectiva) por ser a su juicio irrazonable la interpretación de las normas legales que había efectuado el Auto originariamente impugnado, y por el efecto que el mismo tenía en su situación personal (no anticipar la fecha de licenciamiento definitivo), invocando al efecto las SSTC 19/1999, de 22 de febrero, 71/2000, de 13 de marzo, y 57/2008, de 28 de abril, dictadas todas ellas en amparo del derecho a la libertad personal del artículo 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esos recursos no se hizo mención alguna a los derechos a los que ahora se refieren los motivos segundo a sexto de la demanda de amparo (derecho a la intangibilidad de las resoluciones judiciales firmes, también derivado del art. 24.1 CE, y derecho a la legalidad penal y penitenciaria garantizado en los dos apartados del art. 25 CE). Ni tampoco se incluyó ningún razonamiento dirigido cuestionar esa decisión jurisdiccional desde la perspectiva que los anteriores derechos aportan, esto es, por haber contravenido esa decisión resoluciones anteriores dictadas en la misma ejecutoria o el sentido de la pena, por suponer la ejecución de una pena más grave y prolongada que la legalmente prevista, o por implicar una modificación in peius de la jurisprudencia anterior, que es lo que en esencia se denuncia en esos motivos de amparo. Y por esta razón, ni esas cuestiones fueron tratadas por los Tribunales competentes para conocer de esos recursos, ni pudieron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una vez dictada por el Tribunal Supremo la Sentencia resolutoria del recurso de casación contra aquel Auto inicial, esas otras perspectivas fueron invocadas en el escrito promoviendo la nulidad de actuaciones frente a esa Sentencia. Pero ello no permite subsanar la inicial pasividad de la parte (SSTC 66/2009, de 9 de marzo, FJ 2, y 62/2008, de 26 de mayo, FJ 2). Además, el art. 241.1 de la Ley Orgánica del Poder Judicial solamente permite denunciar por esta vía vulneraciones “que no haya[n] podido denunciarse antes de recaer resolución que ponga fin al proceso”. Por eso el Tribunal Supremo en el Auto desestimatorio del incidente, únicamente se pronunció sobre la cuestión que ante él había sido planteada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 no haberse denunciado oportunamente esas supuestas vulneraciones de derechos constitucionales en los medios de impugnación legalmente previstos contra la inicial resolución de la Audiencia Nacional se privó a esa misma Audiencia, y al Tribunal Supremo, de la posibilidad de pronunciarse sobre ellas y de repararlas en su caso. Y ello impide igualmente que este Tribunal pueda entrar a examinarlas, si no quiere comprometerse este carácter subsidiario del recurso amparo que ya hemos comentado y que se erige en criterio rector de cualquier interpretación que quiera darse al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de este modo el objeto de este recurso de amparo, el mismo queda circunscrito entonces a verificar, exclusivamente, si la decisión judicial de no descontar el periodo de tiempo en que el recurrente estuvo simultáneamente en situación de preso preventivo y penado del límite máximo de cumplimiento efectivo de las penas impuestas al recurrente, establecido en treinta años por Auto de 1 de abril de 1997, vulnera su derecho fundamental a la libertad personal reconocido en el art. 17 CE o su derecho a una tutela judicial efectiva (art. 24.1 CE) por incurrir en una interpretación irrazonable o arbitraria. Existiendo sobre esta cuestión un consolidado cuerpo de doctrina de este Tribunal que arranca de la STC 35/2014, de 27 de febrero, continúa con las SSTC 55/2014, de 10 de abril, y 61/2014, 62/2014, 63/2014, 64/2014, 65/2014, 67/2014, 68/2014, 69/2014 y 70/2014, todas de 5 de mayo, y se sigue refrendado en otras posteriores como por ejemplo la STC 80/2014,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esas resoluciones —STC 35/2014, de 27 de febrero,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aquí impugnadas, podemos afirmar que el argumento contemplado en las mismas por el que se rechaza la solicitud de inclusión en la liquidación como tiempo de abono desde el 21 de julio de 1992 hasta el 9 de septiembre de 1995, en que el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conducen a concluir que las decisiones adoptadas no han producido la alegada lesión del derecho a la libertad del demandante (art. 17.1 CE), o a su derecho a la tutela judicial efectiva (art. 24.1 CE), al no contravenir lo dispuesto en el art.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Antonio Cabello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