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3794-2012, promovido por don Rafael Díez Usabiaga, representado por la Procuradora de los Tribunales doña Ana Isabel Lobera Argüelles, bajo la dirección del Letrado don Iñigo Iruin Sanz, contra la Sentencia de la Sala de lo Penal del Tribunal Supremo de 7 de mayo de 2012, por la que se estimó parcialmente el recurso de casación núm. 11773-2011 interpuesto contra la Sentencia de la Sección Cuarta de la Sala de lo Penal de la Audiencia Nacional de 16 de septiembre de 2011 en el rollo de sala núm. 95-2009.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Ana Isabel Lobera Argüelles, en nombre y representación de don Rafael Díez Usabiaga, y bajo la dirección del Letrado don Iñigo Iruin Sanz, interpuso demanda de amparo contra las resoluciones que se mencionan en el encabezamiento mediante escrito registrado en este Tribunal el 21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de la Sala de lo Penal de la Audiencia Nacional, por Sentencia de 16 de septiembre de 2011, condenó, entre otros, al recurrente como autor de un delito de pertenencia a organización terrorista, en grado de dirigente, a una pena de prisión de diez años, inhabilitación especial para el ejercicio del derecho de sufragio pasivo por el tiempo de la prisión, inhabilitación especial para empleo o cargo público por tiempo de diez años y el abono de las costas. La Sentencia consideró probado que el recurrente y los restantes condenados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argumenta que si bien no existe una prueba directa concurren diversas pruebas indiciarias a partir de las cuales se infiere la responsabilidad penal del demandante y el resto de condenados y que tampoco resultan asumibles los argumentos de descargo utilizados. Así se afirma en el fundamento de Derecho 1.C):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hecho-consecuencia consiste en la mencionada dependencia y dedicación de los cinco acusados nombrados, unidos orgánicamente en la comisión de coordinación aludida, a los designios políticos y criminales de la organización terrorista ETA, en la que se insertan y para la que actúan en una relación de tutelaje y disciplina cuyas directrices básicas impartía ETA. A tal hecho consecuencia se llega directamente y sin fisuras a través de contrastados e inatacables hechos-base, que forman un sólido cuerpo indiciario con relevancia probatoria de cargo. Como tales hechos-base enumeraremos los siguientes: 1º.- Las reuniones reservadas que los acusados mantuvieron en la sede del sindicato LAB en la capital donostiarra, después de la presentación pública del nuevo organismo o comisión efectuada el día 16 de marzo de 2009, a la que también acudieron personas representativas de los diversos sectores de la Izquierda Abertzale; de tales reuniones no se extendían actas, para evitar la difusión externa de lo tratado. 2º.- Los desplazamientos que realizaron los acusados, unos el día 30 de abril y otros el día 21 de julio de 2009, a dos localidades francesas, para entrevistarse reservadamente y cambiar impresiones con distintas personas del entorno de ETA, adoptando los acusados durante el tiempo que permanecieron en el vecino país medidas de seguridad que garantizaban el sigilo sobre lo que trataban y sobre la identidad de las personas interlocutoras. 3º.-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4º.- La idéntica nomenclatura o terminología empleada por ETA y la Izquierda Abertzale, representada por los acusados, en los documentos, comunicados y actos que exteriorizaban, tendentes al acopio de fuerzas políticas de la órbita soberanista, con exclusión del PNV, para crear un polo independentista que adoptara la posición política en la dualidad de facetas (política y militar) que desde su fundación, con diversidades de formas, siempre ha mantenido ETA. Y 5º.- La palmaria ausencia de actuaciones en los acusados que denoten un verdadero y real distanciamiento de las tesis armadas y amparadoras de la violencia defendidas y ejecutadas por ETA, a cuya organización terrorista no critican cuando comete atentados sino que, muy por el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defensas de los acusados sostienen que la actividad de sus clientes no trasvasa el ámbito político, de ejercicio de la libertad de expresión y del derecho a la participación en actividades públicas, constitucionalmente protegido. Sin embargo, dicha tesis carece de consistencia, si se tiene en cuenta el amplio caudal probatorio de cargo que se ha acumulado en el presente procedimiento, como iremos examinando. Pretenden dichas defensas hacer creer que toda la labor de los acusados se circunscribía a buscar y procurar un marco de diálogo para erradicar definitivamente la violencia que durante muchas décadas ha venido sacudiendo el País Vasco y Navarra, además de otros puntos de España. Alegan que el documento ‘Clarificando la fase política y la estrategia’, elaborado por los acusados y puesto en circulación para ser debatido en las fechas de las detenciones, cuyo resumen se contiene en la ‘Declaración de Alsasua’, de 14 de noviembre de 2009, y las conclusiones del debate aparecen en el documento ‘Zutik Euskal Herria’, de febrero de 2010, reflejan tal posición pacificadora y superadora de la estrategia político-armada que hasta entonces estaba vigente. Pero debe precisarse que sólo el primero de los documentos nombrados es atribuible a los acusados, según ellos mantienen y reconocen los testigos, pues los otros dos aparecen en escena cuando ellos se encontraban privados de libertad preventivamente. En cualquier caso, ni en aquel primer documento, ni en los dos restantes, aparece de manera diáfana una condena a la violencia de ETA, sino que expresamente se recoge un reparto de roles entre la Izquierda Abertzale y ETA, pues aquel conjunto de formaciones sectoriales se encargaría de las iniciativas de índole político-institucional, en tanto que la organización terrorista sería la que negociaría con el Estado el fin de la violencia que ejerce. Ello constituye una reiteración de los dos planos (político y militar) en que siempre se ha desenvuelto ETA. Por lo que, en realidad, ningún proceso de diálogo y negociación novedoso se quería introducir con la creación del organismo o comisión de coordinación de la Izquierda Abertzale formado por los cinco acusados nombrados, permaneciendo idéntica la terminología empleada, donde se incluye la denominación de ‘presos políticos y exiliados’ para aludir a los miembros de la organización terrorista y de otras formaciones afines que cumplen condena en establecimientos carcelarios fuera de los territorios de las Comunidades Autónomas de Euskadi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formuló recurso de casación alegando, entre otros motivos, la infracción constitucional del derecho a la presunción de inocencia, al considerar que los indicios utilizados para fundamentar su condena carecen de la solidez y calidad exigibles para desvirtuar dicho derecho fundamental, habida cuenta de los contraindicios concurrentes; y una infracción de precepto legal, ya que se le aplicó el grado de dirigente. La Sala Segunda del Tribunal Supremo, por sendas Sentencias núm. 351-2012, de 7 de mayo, acordadas en el recurso de casación núm. 11773-2011, estimó parcialmente el recurso interpuesto y, manteniendo los pronunciamientos de la Sentencia impugnada, estableció que el demandante de amparo era autor de la modalidad básica del delito de pertenencia a organización terrorista, condenándole a una pena de prisión de seis años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la Sentencia argumenta que la condena se ha fundamentado en la actividad probatoria indiciaria desarrollada en relación con cada uno de los acusados de la que se ha inferido de manera racional su responsabilidad penal, fruto de un exhaustivo y ponderado análisis del abundante acervo probatorio practicado en el plenario, de cuyo contenido deja sobrada constancia la Sentencia emitida; valorándose también los argumentos de descargo alegados. Así, en el fundamento de Derecho noveno se hace un detenido análisis de la valoración probatoria desarrollada en relación con el demandante de amparo, describiendo los distintos documentos y cartas halladas en su poder referidos al debate abierto en la Izquierda Abertzale, sus comparecencias públicas y artículos en prensa en que utilizó un lenguaje en sintonía terminológica con el empleado por ETA, así como un desplazamiento a Francia para celebrar una reunión con un miembro de Batasuna en aquel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argumento de que el demandante y el resto de los condenados formaban un grupo de opinión autónomo, no estructurado, cuyo objetivo consistía en preparar el debate democrático en el que se erradicara la violencia, la Sentencia afirma que el demandante en ninguno de los documentos o comparecencias públicas planteaba “siquiera tangencialmente, el fin de la violencia por parte de ETA como paso previo para el logro de los fines que constituye su ideario marxista y la propia independencia soberanista desde una actuación meramente democrática. Por el contrario, de su contenido se desprenden notables coincidencias con la estrategia marcada poco tiempo antes desde la organización criminal, lo que incluye pactos con grupos como EA o bien una participación activa en la promoción de huelgas y movilizaciones”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incluye dos Votos particulares. En el segundo Voto se afirma que el recurso debería haber sido estimado al haberse vulnerado el derecho a la presunción de inocencia, ya que falta un enlace lógico suficiente de la prueba indiciaria a partir de la cual la Sentencia de instancia establece la culpabilidad de los acusados, hay una valoración parcial de diversas pruebas documentales y no se han ponderado diversos contraindicios exculpatorios.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como único motivo de amparo, que se ha vulnerado su derecho a la presunción de inocencia (art. 24.2 CE) y solicita que se declare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su queja en que las resoluciones judiciales impugnadas han declarado acreditado mediante prueba indiciaria su responsabilidad penal, pero que no han explicitado el juicio de inferencia o engarce lógico entre los indicios o hechos básicos y el mencionado hecho consecuencia y que, en todo caso, carece de la razonabilidad exigible por ilógico e insuficiente, al ser excesivamente débil y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expone que carecen de la entidad y calidad necesaria para enervar la presunción de inocencia los cinco indicios utilizados en la Sentencia condenatoria —(i) las reuniones reservadas mantenidas en la sede del sindicato LAB con personas representativas de la Izquierda Abertzale; (ii) los viajes realizados a Francia por los recurrentes para reunirse con personas del entorno de ETA; (iii) la relación causa-efecto entre los documentos de ETA en que se ordenaba a la Izquierda Abertzale emprender acciones de índole política y los documentos elaborados por la Izquierda Abertzale cumpliendo aquellos mandatos; (iv) identidad de terminología entre la utilizada por la Izquierda Abertzale y ETA; y (v) la no condena de las actuaciones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esa afirmación se realiza en la demanda un detenido análisis de los diversos documentos elaborados por ETA y la Izquierda Abertzale constatando, por un lado, que las resoluciones judiciales no exponen la conexión lógica entre su contenido y la conclusión de que la Izquierda Abertzale se ha limitado a seguir la estrategia señalad por ETA y, por otro, que atendiendo al contenido real de los documentos elaborados por ETA, que se derivan de su original en euskera, se pone de manifiesto que ninguno de ellos evidencia que el demandante fuera uno de los receptores de los mandatos de ETA ni que la Izquierda Abertzale hubiera decidido seguirlos. También destaca lo afirmado en la STC 61/2011, de 22 de mayo, de que dichos documentos pueden servir razonablemente para deducir que ETA ha propugnado una estrategia de convergencia con otras fuerzas de la Izquierda Abertzale, pero no su instrumentalización, y que la Izquierda Abertzale como expresión ideológica no ha sido proscrita de nuestro ordenamiento, toda vez que son los medios violentos y no las ideas o los objetivos políticos pacíficamente perseguidos a los que está destinada la reacción del poder público. Igualmente, afirma la relevancia que tiene el hecho de que no se conoce el autor del documento atribuido a la Izquierda Abertzale y de que no fue incautado al recurrente ni a ninguno del resto de los acusados y que las únicas actividades en que participó fue en actos electorales durante las elecciones europeas de 2009 en favor de la candidatura Iniciativa Internacionalista-La Solidaridad entre los Pueblos, lo que fue duramente criticado por ETA. Respecto de la valoración judicial de la no condena a ETA como elemento incriminatorio, el demandante destaca que en las SSTC 68/2005, de 31 de marzo; 126/2009, de 21 de mayo y 62/2011, de 5 de mayo, ya se estableció que la negativa a la condenar expresamente el terrorismo no puede ser un indicio. Del mismo modo, expone que no puede resultar relevante la identidad de terminologías como elemento indiciario, ya que es una circunstancia que no se ajusta a un canon de racionalidad y carece de valor indicativo e incriminatorio, al margen de la evidente restricción de la libertad ideológica que implica el derivar consecuencias penales de esa identidad terminológica. Por último, respecto de los indicios referidos a las reuniones y desplazamientos realizados, se argumenta que de la rueda de prensa realizada no puede derivarse que se hiciera una presentación pública de un supuestos organismo de coordinación, sino que era un grupo representativo de la Izquierda Abertzale; y tampoco ninguna conclusión incriminatoria cabe realizar de reuniones o desplazamientos que son meras manifestaciones del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demandante aduce que existe una serie de contraindicios que ponen de manifiesto que no formaba parte de un grupo que ejecutaba una estrategia diseñada por ETA sino que seguía una línea política autónoma para el logro de un objetivo soberanista e independentista, propugnando el uso exclusivo de las vías políticas y democráticas, y que no han sido debidamente ponderados en vía judicial. Entre esos indicios cita la persistencia de un debate en el seno de la Izquierda Abertzale y el enfrentamiento de posiciones estratégicas de la Izquierda Abertzale con ETA, que se deriva de los documentos aportados en la causa y de diversa documentación periodística; y la existencia de Bateragune como órgano encargado por ETA para el desarrollo de la función de dirección política que la Sentencia imputa a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6 de mayo de 2013, acordó admitir a trámite la demanda de amparo y, en aplicación de lo dispuesto en el art. 51 de la Ley Orgánica del Tribunal Constitucional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136/2013, de 3 de junio,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12 de julio de 2013, tuvo por recibidos los testimonios de las actuaciones; por personada la Procuradora doña Delicias Santos Montero, en nombre y representación de la Asociación Víctimas del Terrorismo Verde Esperanza; y acordó dar vista de las actuaciones al Ministerio Fiscal y a las partes personadas por un plazo de veinte días para presentar las alegaciones que estimasen pertinentes, de conformidad con el art. 52 LOTC, y dentro de los diez primeros días para que alegaran sobre la posible acumulación del presente recurso al número 3930-2012, lo que fue denegado por ATC 149/2014,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3 de septiembre de 2013, promovió la recusación del Presidente de este Tribunal, que fue inadmitida por ATC 237/2013,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 de octubre de 2013, presentó sus alegaciones interesando que se desestimara el recurso de amparo. Argumenta que no se puede apreciar la vulneración aducida del derecho a la presunción de inocencia (art. 24.2 CE), ya que la condena del recurrente se ha producido en virtud de prueba de indicios que ha respetado la jurisprudencia constitucional al respecto, pues ha expuesto de manera amplia cuáles eran los indicios que habían quedado acreditados, la mayoría reconocidos por el propio recurrente, y como a partir de los mismos se derivaba la conclusión sobre su pertenencia a ETA con inferencias que resultan razonables y en que también se han ponderados los argumentos y contraindicios de descargo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17 de septiembre de 2013, presentó sus alegaciones dando por reproducidas las formuladas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Delicias Santos Moreno, en escrito registrado el 7 de julio de 2014, comunicó que la Asociación de Víctimas del Terrorismo Verde Esperanza se apartaba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el derecho del recurrente a la presunción de inocencia (art. 24.2 CE), por haber sido condenado en virtud de prueba indiciaria sin cumplir las exigencias de la jurisprudencia constitucional sobre el particular, toda vez que no habrían expuesto el juicio de inferencia o engarce lógico entre los indicios o hechos básicos y el hecho consecuencia y porque, en todo caso, la conclusión condenatoria carece de la razonabilidad exigible por ser excesivamente débil y abierta la inferencia realizada si se toman en consideración los diferentes contraindicios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resulta parcialmente coincidente con el del recurso resuelto por el Pleno de este Tribunal en la STC 133/2014, de 22 de julio, en que ya se abordó la invocación del derecho a la presunción de inocencia realizada por el resto de condenados en las resoluciones judiciales impugnadas. Dicho pronunciamiento, que fue desestimatorio, debe servir de base, por tanto,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argumenta, para sustentar la invocación del derecho a la presunción de inocencia (art. 24.2 CE), que los indicios utilizados para su condena no son unívocos ni concluyentes ni siquiera valorados conjuntamente respecto de su pertenencia la organización terrorista ETA, ya que, partiendo de la realidad sostenida en la STC 61/2011, de 22 de mayo, de que la Izquierda Abertzale y ETA no son lo mismo, no se han valorado contraindicios muy relevantes que ponían de manifiesto que su conducta se desarrollaba dentro de un marco legítimo de actividad política de la Izquierda Abertzale, que en todo momento excluye el recurso a la violencia para la consecución de sus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demandante ni objeta la legalidad de las pruebas practicadas durante el juicio oral ni que a partir de la actividad probatoria desarrollada hayan quedado acreditados los hechos base objetivos en que se han basado las posteriores inferencias condenatorias. Su objeto de impugnación queda limitado a considerar que el hecho consecuencia que las resoluciones judiciales entienden que se derivaba de esos hechos base —consistente en la afirmación de que el demandante junto con los restantes condenados actuaban respondiendo a instrucciones y bajo la dirección de una organización terrorista— resulte una inferencia respetuosa con el derecho a la presunción de inocencia al no haber sido debidamente ponderado que si bien pueden compartir un objetivo independentista se constituían como una grupo autónomo e independiente dentro de la Izquierda Abertzale contrario al uso de la violencia en la consecución de esos objetivos y que, por tanto, no actuaban bajo la dependencia de la organización terrorista ni, lógicamente, estaban integrados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esta concreta cuestión suscitada por el demandante, es preciso recordar la jurisprudencia constitucional aplicable al caso que ya se expuso en la citada STC 133/2014, FJ 8, en la que se señalaba que este Tribunal, en la STC 126/2011, de 18 de julio, recordando lo establecido en la STC 109/2009, de 11 de mayo, FJ 3, afirma “que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 (o indicios) han de estar plenamente probados; 2) los hechos constitutivos del delito deben deducirse precisamente de estos hechos base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 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resulta preciso recordar que en la STC 15/2014, de 30 de enero, se afirma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 (FJ 6). E, igualmente, que en la STC 1/2009, de 12 de enero, se establece que nuestro parámetro de control “respetuoso con el ámbito reservado a la jurisdicción ordinaria en orden a la fijación de los hechos, sólo considera ‘insuficiente la conclusión probatoria a la que hayan llegado los órganos judiciales desde las exigencias del derecho a la presunción de inocencia si, a la vista de la motivación judicial de la valoración del conjunto de la prueba, cabe apreciar de un modo indubitado, desde una perspectiva objetiva y externa, que la versión judicial de los hechos es más improbable que probable’ (por todas STC 123/2006, de 24 de abril, FJ 5)” (FJ 4), lo que es posteriormente reiterado en la ya citada STC 126/2011, FJ 25, en que también se mencionan las SSTC 209/2007, de 24 de septiembre; 70/2007, de 16 de abril; 104/2006, de 3 de abril; 296/2005, de 21 de noviembre; 263/2005, de 24 de octubre; y 145/2005,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establece la STC 148/2009, de 15 de junio, “también se ha puesto de manifiesto que dentro del control que le corresponde realizar a este Tribunal sobre la eventual vulneración de este derecho se encuentra verificar si se ha dejado de someter a valoración la versión o la prueba de descargo aportada, concretándose que se exige solamente ponderar los distintos elementos probatorios, pero sin que ello implique que esa ponderación se realice de modo pormenorizado, ni que la ponderación se lleve a cabo del modo pretendido por el recurrente, sino solamente que se ofrezca una explicación para su rechazo (por todas, STC 187/2006, de 19 de junio,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jurisprudencia constitucional que resulta relevante para resolver la concreta cuestión suscitada por el demandante, y tal como también se hizo en la citada STC 133/2014, FJ 9, es preciso destacar que los hechos probados, en virtud de los cuales se estableció la responsabilidad penal del recurrente por el delito de integración en organización terrorista, son que, junto con el resto de condenados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hechos se han considerado acreditados, tal como se ha expuesto más ampliamente en los antecedentes, a partir de un proceso de inferencia en que los hechos base, respecto de los que no se ha establecido ninguna controversia, eran, según lo expuesto en el fundamento de Derecho 1 C) de la Sentencia de la Sección Cuarta de la Sala de lo Penal de la Audiencia Nacional de 16 de septiembre de 2011, los siguientes: (i) las reuniones reservadas que mantuvieron el demandante y otros condenados en la sede del sindicato LAB en San Sebastián después de la presentación pública del nuevo organismo o comisión efectuada el día 16 de marzo de 2009, a la que también acudieron personas representativas de los diversos sectores de la Izquierda Abertzale; (ii) los desplazamientos del demandante junto con otro de los condenados a Francia para entrevistarse reservadamente con distintas personas del entorno de ETA, adoptando durante el tiempo que permanecieron en el vecino país medidas de seguridad que garantizaban el sigilo sobre lo que trataban y sobre la identidad de las personas interlocutoras; (iii)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(iv) la idéntica nomenclatura o terminología empleada por ETA y la Izquierda Abertzale, representada por el recurrente y el resto de condenados, en los documentos, comunicados y actos que exteriorizaban; y (v) la ausencia de actuaciones en el recurrente y el resto de condenados que denotaran un verdadero y real distanciamiento de las tesis armadas y amparadoras de la violencia defendidas y ejecutadas por ETA, cuyos atentados no solo no eran objeto de condena sino que, al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del Tribunal Supremo advierte en su fundamento de Derecho noveno determinados indicios que fueron tenidos en cuenta en la Sentencia recurrida en casación en relación con el demandante de amparo, describiendo los distintos documentos y cartas halladas en su poder referidos al debate abierto en la Izquierda Abertzale, sus comparecencias públicas y artículos en prensa en que utilizó un lenguaje en sintonía terminológica con el empleado por ETA, así como un desplazamiento a Francia para celebrar una reunión con un militante de Batasuna en aquel país y antiguo miembro del ETA. Particular atención merece la valoración expresa que la Sentencia hace del argumento de descargo del demandante de que formaba parte de un grupo de opinión autónomo, no estructurado, cuyo objetivo consistía en preparar el debate democrático en el que se erradicara la violencia. Así, se afirma que el demandante en ninguno de los documentos o comparecencias públicas planteaba “siquiera tangencialmente, el fin de la violencia por parte de ETA como paso previo para el logro de los fines que constituye su ideario marxista y la propia independencia soberanista desde una actuación meramente democrática. Por el contrario, de su contenido se desprenden notables coincidencias con la estrategia marcada poco tiempo antes desde la organización criminal, lo que incluye pactos con grupos como EA o bien una participación activa en la promoción de huelgas y movilizaciones”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indicios que se han enumerado son el producto de las pruebas practicadas en el acto del juicio, tal como señala el Tribunal de instancia en los fundamentos de Derecho primero a tercero, consistentes en las declaraciones de los acusados y de testigos, dictámenes periciales y la abundante prueba documental acumulada durante la instrucción de la causa o aportada con posterioridad por las partes, cuyo contenido es recogido con amplitud en la Sentencia y es objeto de valoración en conjunto con las demás pruebas. Del mismo modo, se rechazaron de forma expresa las versiones exculpatorias del recurrente y el resto de acusados y no se concedió crédito a las manifestaciones de los testigos de descargo. A este respecto, es doctrina de este Tribunal (por todas, STC 57/2013, de 11 de marzo, FJ 6) que la credibilidad de los testimonios presentados en el juicio oral no forma parte del contenido del derecho a la presunción de inocencia que es evaluable por nosotros en el proceso de amparo, entre otras razones, porque el proceso constitucional no permite el conocimiento preciso y completo de la actividad probatoria, ni prevé las garantías necesarias de publicidad, oralidad, inmediación y contradicción que deben rodear dicho conocimiento para la adecuada valoración de las pruebas, sino que verificado que ha existido prueba que pueda estimarse racionalmente de cargo, no nos compete revisar la valoración de que tal prueba haya realizado el juzgador en conciencia, de acuerdo con el art. 741 de la Ley de enjuiciamiento criminal (LECrim), pues esta jurisdicción constitucional respecto a la actuación de los Tribunales ordinarios se reduce a determinar si se han vulnerado o no las garantías constitucionales [arts. 117.3, 123.1, 161.1 b) de la Constitución y 44 y 54 de la Ley Orgánica del Tribunal Constitucional (LOTC)], sin que pueda ni deba actuar como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análisis externo de este proceso de razonamiento pone de manifiesto, tal como ya se exponía en la citada STC 133/2014, FJ 10, que el hecho consecuencia de considerar que el demandante actuaba bajo las instrucciones y la dirección de la organización terrorista, como integrante de la misma, es producto de una inferencia que resulta respetuosa con las exigencias constitucionales que impone el derecho a la presunción de inocencia para las condenas basadas en prueba indiciaria, tanto si se toman en consideración los hechos base objetivos acreditados mediante la actividad probatoria desarrollada en la vista oral como la argumentación vertida en las resoluciones impugnadas para dar respuesta a las alegaciones de descargo efectuadas por el demandante referidas a que su actividad respondía al objetivo de la búsqueda de una solución pacífica al “conflicto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constitucional cabe realizar al razonamiento para establecer los hechos-base de que (i) la organización terrorista ETA desarrolló una nueva estrategia intentando dar protagonismo a un frente político a cuyo fin seleccionó a una serie de personas entre los miembros de la Izquierda Abertzale para que la ejecutara bajo su dirección; (ii) que el demandante junto con los otros condenados desarrollaron actividades políticas y reuniones en España y Francia como un grupo cualificado de la Izquierda Abertzale con un objetivo independentista y que en el desarrollo de esa actividad se adoptó un lenguaje y unas estrategias parcialmente coincidentes con las establecidas por ETA; y (iii) que no existió una condena expresa de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desde el análisis externo que es propio a esta jurisdicción de amparo, también resulta respetuoso con el parámetro de control constitucional propio de la condena penal basada en prueba indiciaria, la conclusión obtenida a partir de esos hechos base de que el demandante era una de las personas seleccionadas y dirigidas por ETA para la ejecución de su estrategia. En efecto, la inferencia o deducción de que la actuación del demandante constituía la ejecución de una estrategia ordenada por la organización terrorista y no el ejercicio de una legítima actuación política independiente de tal organización lo pone de manifiesto el razonamiento judicial resumido en el fundamento de derecho noveno de la sentencia de casación de la constatación de la intervención de una serie de documentos y de cartas en su poder, su participación en una rueda de prensa, su desplazamiento a Francia y sus declaraciones en comparecencias públicas. Frente a ello han de rechazarse las conclusiones obtenidas a partir de un análisis fraccionado y desagregado de los diversos hechos base y de la fuerza de convicción que proporciona su análisis conjunto y relacional. Con reiteración ha advertido este Tribunal (por todas STC 126/2011, de 18 de julio, FJ 22) que,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[léase por el órgano judicial].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124/2001, de 4 de junio, FJ 14; y ATC 247/1993,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los términos expuestos por la doctrina constitucional sobre el particular, no puede sostenerse que la conclusión de que el demandante seguía una estrategia diseñada y dirigida desde la organización terrorista resulte más improbable que probable, especialmente si se atiende a la valoración judicial que, a partir de la inmediación con que desarrolla su labor, se ha vertido sobre los argumentos de descargo utilizados por el demandante para intentar establecer una explicación alternativa más probable que la de su integración en la organización terrorista. En efecto, frente a la solidez de esta conclusión probatoria, no cabe oponer por el recurrente que no se habría ponderado adecuadamente como elemento de descargo que, desde su exclusiva integración en la Izquierda Abertzale, su pretensión era la búsqueda de una solución pacífica y de que la ausencia de condena de la violencia no puede ser utilizado como un elemento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circunstancia de que el demandante fuera un miembro relevante de la Izquierda Abertzale no ha sido concluyente por sí sola para inferir que actuaba bajo la dirección de ETA. A esos efectos, es preciso recordar que este Tribunal ha reiterado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destacando que,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126/2009, de 21 de mayo, FJ 10; y STC 62/2011, de 5 de mayo, FJ 12). Ahora bien, es preciso poner de relieve que la conclusión alcanzada en las resoluciones impugnadas respecto de la integración del recurrente en la organización terrorista se ha fundamentado no es la circunstancia de que formaran parte de la denominada Izquierda Abertzale, en el sentido de compartir los objetivos secesionistas de la banda armada ETA, sino en el hecho de que, como quedaba acreditado con otros elementos de prueba, su actuación era del todo coincidente no solo en lo relativo a la consecución de unos objetivos políticos, sino también en cuanto al uso de los medios violentos e ilícitos, que es lo que define la actuación de las organizaciones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cabe compartir que se ha utilizado como un elemento incriminatorio su negativa a condenar la violencia. Ciertamente, este Tribunal ha reiterado en el marco de los procesos de ilegalización de partidos y candidaturas en aplicación de la legislación de partidos políticos y la electoral que “[l]a negativa a condenar expresamente el terrorismo no es, por tanto, indicio bastante para acreditar per se una voluntad defraudatoria como la contemplada en el artículo 44.4 LOREG. Más bien sucede que su contrario, la condena inequívoca, constituye una contraindicio capaz de desacreditar la realidad de una voluntad de ese cariz deducida a partir de indicios suficientes” (así, SSTC 68/2005, de 31 de marzo, FJ 15; 126/2009, de 21 de mayo, FJ 14; y STC 62/2011, de 5 de mayo, FJ 12). Ahora bien, como queda acreditado en la Sentencia de casación, la relevancia que se otorga a que no aparezca ninguna condena de la violencia terrorista por parte de los recurrentes no lo es como indicio de su integración en la organización terrorista. Se utiliza como un elemento más para excluir la relevancia del argumento de descargo de los recurrentes basado en que su actividad perseguía una solución pacífica. Así se deriva de manera manifiesta de la Sentencia de casación impugnada en que, tal como ha sido expuesto anteriormente, cuando se analiza el argumento de que la actuación desarrollada respondía a la pretensión de dinamizar un debate democrático, se descarta su virtualidad señalando, entre otros aspectos, que el demandante no había planteado, “siquiera tangencialmente, el fin de la violencia por parte de ETA como paso previo para el logro de los fines que constituyen su ideario marxista y la propia independencia soberanista desde una actuación meramente democrática”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externa de control que bajo la invocación del derecho a la presunción de inocencia puede desarrollar este Tribunal Constitucional, cabe concluir que la condena del recurrente ha resultado respetuosa con la doctrina constitucional sobre la posibilidad de condenas basadas en prueba indiciaria y la necesidad de que sean debidamente ponderados los argumentos de descargo sin que, por otra parte, se hayan utilizado como elementos incriminatorios aspectos vedados por la jurisprudencia constitucional. Por tanto, el amparo solicitado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Rafael Díez Usabiaga.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recurso de amparo núm. 3794-2012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posición mayoritaria de nuestros compañeros de Sala, debemos manifestar nuestra discrepancia con la fundamentación jurídica de la Sentencia y con su fallo. Consideramos que debía haberse otorgado el amparo por vulneración del derecho a la presunción de inocencia (art. 24.2 CE) con el consiguiente efecto anulatorio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por la Magistrada doña Adela Asua Batarrita en los apartados 2 a 4 del Voto particular formulado a la STC 133/2014, de 22 de julio, —en la que se analizó esta invocación en relación con el resto de condenados en las Sentencias impugnadas—, al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